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41" w:rsidRDefault="00296541" w:rsidP="00296541">
      <w:pPr>
        <w:spacing w:line="360" w:lineRule="auto"/>
      </w:pPr>
      <w:r>
        <w:t>Gehäuftes gemeinsames Auftreten von Fibromyalgie und Aufmerksamkeitsdefizit-/Hyperaktivitätsstörung?</w:t>
      </w:r>
    </w:p>
    <w:p w:rsidR="00296541" w:rsidRDefault="00296541" w:rsidP="00296541">
      <w:pPr>
        <w:spacing w:line="360" w:lineRule="auto"/>
      </w:pPr>
      <w:r>
        <w:t>Mögliche Konsequenzen für die Therapie der Fibromyalgie</w:t>
      </w:r>
    </w:p>
    <w:p w:rsidR="00296541" w:rsidRDefault="00296541" w:rsidP="00296541">
      <w:pPr>
        <w:spacing w:line="360" w:lineRule="auto"/>
      </w:pPr>
    </w:p>
    <w:p w:rsidR="00296541" w:rsidRDefault="00296541" w:rsidP="00296541">
      <w:pPr>
        <w:spacing w:line="360" w:lineRule="auto"/>
      </w:pPr>
      <w:r>
        <w:t>Krause, K.-H. und J. Krause</w:t>
      </w:r>
    </w:p>
    <w:p w:rsidR="00296541" w:rsidRDefault="00296541" w:rsidP="00296541">
      <w:pPr>
        <w:spacing w:line="360" w:lineRule="auto"/>
      </w:pPr>
    </w:p>
    <w:p w:rsidR="00296541" w:rsidRDefault="00296541" w:rsidP="00296541">
      <w:pPr>
        <w:spacing w:line="360" w:lineRule="exact"/>
      </w:pPr>
      <w:r>
        <w:t xml:space="preserve">Die Fibromyalgie (Synonyme: generalisierte </w:t>
      </w:r>
      <w:proofErr w:type="spellStart"/>
      <w:r>
        <w:t>Tendomyopathie</w:t>
      </w:r>
      <w:proofErr w:type="spellEnd"/>
      <w:r>
        <w:t xml:space="preserve">, Fibromyalgie-Syndrom, </w:t>
      </w:r>
      <w:proofErr w:type="spellStart"/>
      <w:r>
        <w:t>polytope</w:t>
      </w:r>
      <w:proofErr w:type="spellEnd"/>
      <w:r>
        <w:t xml:space="preserve"> </w:t>
      </w:r>
      <w:proofErr w:type="spellStart"/>
      <w:r>
        <w:t>Insertionstendomyopathie</w:t>
      </w:r>
      <w:proofErr w:type="spellEnd"/>
      <w:r>
        <w:t xml:space="preserve">; früher auch als </w:t>
      </w:r>
      <w:proofErr w:type="spellStart"/>
      <w:r>
        <w:t>Fibrositis</w:t>
      </w:r>
      <w:proofErr w:type="spellEnd"/>
      <w:r>
        <w:t xml:space="preserve"> und Weichteilrheumatismus bezeichnet) wird definiert als chronisches Schmerzsyndrom des Bewegungsapparates mit reproduzierbar deutlich vermehrter Druckschmerzhaftigkeit an einer Vielzahl anatomischer Schmerzpunkte (Tender </w:t>
      </w:r>
      <w:proofErr w:type="spellStart"/>
      <w:r>
        <w:t>points</w:t>
      </w:r>
      <w:proofErr w:type="spellEnd"/>
      <w:r>
        <w:t xml:space="preserve">) im Bereich der Sehnenansätze; verbunden hiermit sind in der Regel Schlafstörungen und allgemeine Erschöpfung, etwas weniger häufig vegetative Störungen wie irritables Kolon, kalte </w:t>
      </w:r>
      <w:proofErr w:type="spellStart"/>
      <w:r>
        <w:t>Akren</w:t>
      </w:r>
      <w:proofErr w:type="spellEnd"/>
      <w:r>
        <w:t xml:space="preserve">, Hyperhidrosis (speziell an den Händen), Dermographismus, </w:t>
      </w:r>
      <w:proofErr w:type="spellStart"/>
      <w:r>
        <w:t>orthostatische</w:t>
      </w:r>
      <w:proofErr w:type="spellEnd"/>
      <w:r>
        <w:t xml:space="preserve"> Beschwerden, respiratorische Arrhythmie, Tremor, Raynaud-Syndrom, Parästhesien und Kopfschmerzen (13). Die Diagnose gilt als gesichert, wenn neben der anamnestischen Angabe generalisierter Schmerzen sowie dem Vorhandensein vegetativer und funktioneller Störungen an mindestens 11 von 18 (neun auf jeder Körperseite) definierten Tender </w:t>
      </w:r>
      <w:proofErr w:type="spellStart"/>
      <w:r>
        <w:t>points</w:t>
      </w:r>
      <w:proofErr w:type="spellEnd"/>
      <w:r>
        <w:t xml:space="preserve"> (s. Tab. 1) bei digitaler Palpation (Druck etwa 4 kp/</w:t>
      </w:r>
      <w:proofErr w:type="spellStart"/>
      <w:r>
        <w:t>qcm</w:t>
      </w:r>
      <w:proofErr w:type="spellEnd"/>
      <w:r>
        <w:t xml:space="preserve"> entsprechend) vermehrte Schmerzangabe erfolgt (14, 21).</w:t>
      </w:r>
    </w:p>
    <w:p w:rsidR="00296541" w:rsidRDefault="00296541" w:rsidP="00296541">
      <w:pPr>
        <w:spacing w:line="360" w:lineRule="exact"/>
      </w:pPr>
    </w:p>
    <w:p w:rsidR="00296541" w:rsidRDefault="00296541" w:rsidP="00296541">
      <w:pPr>
        <w:spacing w:line="360" w:lineRule="auto"/>
      </w:pPr>
      <w:r>
        <w:t>Von Patienten mit Aufmerksamkeitsdefizit-/Hyperaktivitätsstörung (ADHS) (1</w:t>
      </w:r>
      <w:proofErr w:type="gramStart"/>
      <w:r>
        <w:t>,9,15,20</w:t>
      </w:r>
      <w:proofErr w:type="gramEnd"/>
      <w:r>
        <w:t xml:space="preserve">) werden nicht selten schmerzhafte generalisierte Muskelverspannungen geklagt (12). Wir beobachteten im Rahmen der medikamentösen Therapie der ADHS bei mehreren Patienten eine deutliche Besserung der diesbezüglichen Beschwerden (11). Der Frage einer möglichen erhöhten Komorbidität der beiden Krankheitsbilder gingen wir in einer Pilotstudie nach. </w:t>
      </w:r>
    </w:p>
    <w:p w:rsidR="00296541" w:rsidRDefault="00296541" w:rsidP="00296541">
      <w:pPr>
        <w:spacing w:line="360" w:lineRule="auto"/>
      </w:pPr>
    </w:p>
    <w:p w:rsidR="00296541" w:rsidRDefault="00296541" w:rsidP="00296541">
      <w:pPr>
        <w:spacing w:line="360" w:lineRule="auto"/>
      </w:pPr>
      <w:r>
        <w:t>Patienten und Methoden</w:t>
      </w:r>
    </w:p>
    <w:p w:rsidR="00296541" w:rsidRDefault="00296541" w:rsidP="00296541">
      <w:pPr>
        <w:spacing w:line="360" w:lineRule="auto"/>
      </w:pPr>
    </w:p>
    <w:p w:rsidR="00296541" w:rsidRDefault="00296541" w:rsidP="00296541">
      <w:pPr>
        <w:spacing w:line="360" w:lineRule="auto"/>
      </w:pPr>
      <w:r>
        <w:t xml:space="preserve">Untersucht </w:t>
      </w:r>
      <w:proofErr w:type="spellStart"/>
      <w:r>
        <w:t>wuren</w:t>
      </w:r>
      <w:proofErr w:type="spellEnd"/>
      <w:r>
        <w:t xml:space="preserve"> 12 Patienten mit Fibromyalgie mittels modifizierter Fragebogen aus der ADHS-Diagnostik (WURS=Wender Utah Rating </w:t>
      </w:r>
      <w:proofErr w:type="spellStart"/>
      <w:r>
        <w:t>Scale</w:t>
      </w:r>
      <w:proofErr w:type="spellEnd"/>
      <w:r>
        <w:t xml:space="preserve"> (19) und Brown ADD-</w:t>
      </w:r>
      <w:proofErr w:type="spellStart"/>
      <w:r>
        <w:t>Scales</w:t>
      </w:r>
      <w:proofErr w:type="spellEnd"/>
      <w:r>
        <w:t xml:space="preserve"> (5)) im Vergleich zu 12 Patienten gleichen Alters und Geschlechts mit Schmerzen aufgrund anderer neurologischer Erkrankungen. </w:t>
      </w:r>
    </w:p>
    <w:p w:rsidR="00296541" w:rsidRDefault="00296541" w:rsidP="00296541">
      <w:pPr>
        <w:spacing w:line="360" w:lineRule="auto"/>
      </w:pPr>
    </w:p>
    <w:p w:rsidR="00296541" w:rsidRDefault="00296541" w:rsidP="00296541">
      <w:pPr>
        <w:spacing w:line="360" w:lineRule="auto"/>
      </w:pPr>
      <w:r>
        <w:t>Resultat</w:t>
      </w:r>
    </w:p>
    <w:p w:rsidR="00296541" w:rsidRDefault="00296541" w:rsidP="00296541">
      <w:pPr>
        <w:spacing w:line="360" w:lineRule="auto"/>
      </w:pPr>
    </w:p>
    <w:p w:rsidR="00296541" w:rsidRDefault="00296541" w:rsidP="00296541">
      <w:pPr>
        <w:spacing w:line="360" w:lineRule="auto"/>
      </w:pPr>
      <w:r>
        <w:t xml:space="preserve">Im ungepaarten zweiseitigen t-Test zeigten sich signifikant höhere </w:t>
      </w:r>
      <w:proofErr w:type="spellStart"/>
      <w:r>
        <w:t>Scores</w:t>
      </w:r>
      <w:proofErr w:type="spellEnd"/>
      <w:r>
        <w:t xml:space="preserve"> bei den Patienten mit Fibromyalgie (T = 0,04 und 0,02). Im WURS boten 7 Patienten mit Fibromyalgie und nur 2 aus der Vergleichsgruppe einen Wert von </w:t>
      </w:r>
      <w:r>
        <w:rPr>
          <w:u w:val="single"/>
        </w:rPr>
        <w:t>&gt;</w:t>
      </w:r>
      <w:r>
        <w:t>36, der eine ADHS anamnestisch wahrscheinlich macht (s. Tabelle 2). Demnach erscheint das gemeinsame Vorliegen von Fibromyalgie und ADHS überzufällig häufig. Hieraus könnten sich interessante Ansätze für die bisher immer noch unbefriedigende medikamentöse Therapie der Fibromyalgie ergeben.</w:t>
      </w:r>
    </w:p>
    <w:p w:rsidR="00296541" w:rsidRDefault="00296541" w:rsidP="00296541">
      <w:pPr>
        <w:spacing w:line="360" w:lineRule="auto"/>
      </w:pPr>
    </w:p>
    <w:p w:rsidR="00296541" w:rsidRDefault="00296541" w:rsidP="00296541">
      <w:pPr>
        <w:spacing w:line="360" w:lineRule="auto"/>
      </w:pPr>
      <w:r>
        <w:t xml:space="preserve">Wir führten daher eine weitere Pilotstudie durch, bei der die mögliche Wirksamkeit des reversiblen MAO-A-Hemmers </w:t>
      </w:r>
      <w:proofErr w:type="spellStart"/>
      <w:r>
        <w:t>Moclobemid</w:t>
      </w:r>
      <w:proofErr w:type="spellEnd"/>
      <w:r>
        <w:t>, dessen positiver Effekt auf die ADHS bekannt ist (17), untersucht wurde.</w:t>
      </w:r>
    </w:p>
    <w:p w:rsidR="00296541" w:rsidRDefault="00296541" w:rsidP="00296541">
      <w:pPr>
        <w:spacing w:line="360" w:lineRule="auto"/>
      </w:pPr>
    </w:p>
    <w:p w:rsidR="00296541" w:rsidRDefault="00296541" w:rsidP="00296541">
      <w:pPr>
        <w:spacing w:line="360" w:lineRule="auto"/>
      </w:pPr>
      <w:r>
        <w:t>Patienten und Methoden</w:t>
      </w:r>
    </w:p>
    <w:p w:rsidR="00296541" w:rsidRDefault="00296541" w:rsidP="00296541">
      <w:pPr>
        <w:spacing w:line="360" w:lineRule="auto"/>
      </w:pPr>
    </w:p>
    <w:p w:rsidR="00296541" w:rsidRDefault="00296541" w:rsidP="00296541">
      <w:pPr>
        <w:spacing w:line="360" w:lineRule="auto"/>
      </w:pPr>
      <w:r>
        <w:t xml:space="preserve">Behandelt wurden 10 Patienten (8 Frauen, 2 Männer) im Alter von 31 bis 58 Jahren mit gesicherter Diagnose einer Fibromyalgie gemäß den Kriterien des American College </w:t>
      </w:r>
      <w:proofErr w:type="spellStart"/>
      <w:r>
        <w:t>of</w:t>
      </w:r>
      <w:proofErr w:type="spellEnd"/>
      <w:r>
        <w:t xml:space="preserve">  </w:t>
      </w:r>
      <w:proofErr w:type="spellStart"/>
      <w:r>
        <w:t>Rheumatology</w:t>
      </w:r>
      <w:proofErr w:type="spellEnd"/>
      <w:r>
        <w:t xml:space="preserve"> mit anhaltenden Schmerzen in mindestens 3 von 6 Regionen (obere und untere Körperhälfte, Rücken, jeweils beidseits) des Bewegungsapparates über mindestens 3 Monate sowie Vorliegen einer erhöhten Schmerzempfindlichkeit an mindestens 11 der 18 typischen Tender </w:t>
      </w:r>
      <w:proofErr w:type="spellStart"/>
      <w:r>
        <w:t>points</w:t>
      </w:r>
      <w:proofErr w:type="spellEnd"/>
      <w:r>
        <w:t xml:space="preserve"> bei Fingerdruck mit etwa 4 kg (21). </w:t>
      </w:r>
      <w:proofErr w:type="spellStart"/>
      <w:r>
        <w:t>Ausschlußkriterien</w:t>
      </w:r>
      <w:proofErr w:type="spellEnd"/>
      <w:r>
        <w:t xml:space="preserve"> waren Schwangerschaft, entzündliche rheumatische Erkrankungen, </w:t>
      </w:r>
      <w:proofErr w:type="spellStart"/>
      <w:r>
        <w:t>floride</w:t>
      </w:r>
      <w:proofErr w:type="spellEnd"/>
      <w:r>
        <w:t xml:space="preserve"> Infektionen und ausgeprägte </w:t>
      </w:r>
      <w:proofErr w:type="spellStart"/>
      <w:r>
        <w:t>endokrinologische</w:t>
      </w:r>
      <w:proofErr w:type="spellEnd"/>
      <w:r>
        <w:t xml:space="preserve"> Erkrankungen wie Hyper- und Hypothyreose oder ein unzureichend eingestellter Diabetes mellitus, weiterhin Störungen der Leberfunktion, </w:t>
      </w:r>
      <w:proofErr w:type="spellStart"/>
      <w:r>
        <w:t>Medikamentenabusus</w:t>
      </w:r>
      <w:proofErr w:type="spellEnd"/>
      <w:r>
        <w:t xml:space="preserve"> und Alkoholismus.</w:t>
      </w:r>
    </w:p>
    <w:p w:rsidR="00296541" w:rsidRDefault="00296541" w:rsidP="00296541">
      <w:pPr>
        <w:spacing w:line="360" w:lineRule="auto"/>
      </w:pPr>
      <w:proofErr w:type="spellStart"/>
      <w:r>
        <w:t>Moclobemid</w:t>
      </w:r>
      <w:proofErr w:type="spellEnd"/>
      <w:r>
        <w:t xml:space="preserve"> wurde in einer Dosis von zunächst 150 mg morgens gegeben mit Steigerung auf 300 mg nach 1 Woche. Vor Beginn der Therapie und nach 4 Wochen Medikamenteneinnahme schätzten die Patienten die spontanen Schmerzen im Bereich der 18 Tender </w:t>
      </w:r>
      <w:proofErr w:type="spellStart"/>
      <w:r>
        <w:t>points</w:t>
      </w:r>
      <w:proofErr w:type="spellEnd"/>
      <w:r>
        <w:t xml:space="preserve"> selbst ein, wobei wegen der Probleme der räumlichen Auflösung die Punkte 1, 2 und 4 (Ansätze der subokzipitalen Muskeln, Querfortsätze der HWK 5-7, M. </w:t>
      </w:r>
      <w:proofErr w:type="spellStart"/>
      <w:r>
        <w:t>supraspinatus</w:t>
      </w:r>
      <w:proofErr w:type="spellEnd"/>
      <w:r>
        <w:t xml:space="preserve">) ebenso zu einer Region </w:t>
      </w:r>
      <w:proofErr w:type="spellStart"/>
      <w:r>
        <w:t>zusammengefaßt</w:t>
      </w:r>
      <w:proofErr w:type="spellEnd"/>
      <w:r>
        <w:t xml:space="preserve"> wurden wie die Punkte 3 und 5 (</w:t>
      </w:r>
      <w:proofErr w:type="spellStart"/>
      <w:r>
        <w:t>Trapezius</w:t>
      </w:r>
      <w:proofErr w:type="spellEnd"/>
      <w:r>
        <w:t xml:space="preserve">, Knochenknorpelgrenze der 2. Rippe) sowie 7 und 8 (oberer äußerer </w:t>
      </w:r>
      <w:proofErr w:type="spellStart"/>
      <w:r>
        <w:t>Glutäalquadrant</w:t>
      </w:r>
      <w:proofErr w:type="spellEnd"/>
      <w:r>
        <w:t xml:space="preserve">, Trochanter </w:t>
      </w:r>
      <w:proofErr w:type="spellStart"/>
      <w:r>
        <w:t>major</w:t>
      </w:r>
      <w:proofErr w:type="spellEnd"/>
      <w:r>
        <w:t xml:space="preserve">). Die Patienten beurteilten somit 5 Regionen auf jeder Seite (Nackenbereich, Brustbein/Schulter, Gesäß/Hüfte, </w:t>
      </w:r>
      <w:r>
        <w:lastRenderedPageBreak/>
        <w:t xml:space="preserve">Ellenbogen und Knie) selbst (0=kein Schmerz, 1=geringe Schmerzen, 2=mittelstarke, 3=starke Schmerzen); der höchste erreichbare Score betrug also 30. Mit Daumendruck auf die 18 Tender </w:t>
      </w:r>
      <w:proofErr w:type="spellStart"/>
      <w:r>
        <w:t>points</w:t>
      </w:r>
      <w:proofErr w:type="spellEnd"/>
      <w:r>
        <w:t xml:space="preserve"> wurde vor Behandlung und nach 4 Wochen eine vermehrte Schmerzhaftigkeit überprüft (0=normale, 1=leicht vermehrte, 2=deutlich vermehrte Schmerzwahrnehmung), maximaler Score hierbei also 36.</w:t>
      </w:r>
    </w:p>
    <w:p w:rsidR="00296541" w:rsidRDefault="00296541" w:rsidP="00296541">
      <w:pPr>
        <w:spacing w:line="360" w:lineRule="auto"/>
      </w:pPr>
    </w:p>
    <w:p w:rsidR="00296541" w:rsidRDefault="00296541" w:rsidP="00296541">
      <w:pPr>
        <w:spacing w:line="360" w:lineRule="auto"/>
      </w:pPr>
      <w:r>
        <w:t>Resultat</w:t>
      </w:r>
    </w:p>
    <w:p w:rsidR="00296541" w:rsidRDefault="00296541" w:rsidP="00296541">
      <w:pPr>
        <w:spacing w:line="360" w:lineRule="auto"/>
      </w:pPr>
    </w:p>
    <w:p w:rsidR="00296541" w:rsidRDefault="00296541" w:rsidP="00296541">
      <w:pPr>
        <w:spacing w:line="360" w:lineRule="auto"/>
      </w:pPr>
      <w:r>
        <w:t xml:space="preserve">Eine Patientin setzte </w:t>
      </w:r>
      <w:proofErr w:type="spellStart"/>
      <w:r>
        <w:t>Moclobemid</w:t>
      </w:r>
      <w:proofErr w:type="spellEnd"/>
      <w:r>
        <w:t xml:space="preserve"> nach 2 Wochen wegen Benommenheitsgefühls und Konzentrationsstörungen ab, eine weitere Patientin beendete die Einnahme wegen Auftretens eines stark juckenden Hautausschlages nach 6 Tagen. Von den verbleibenden 8 Patienten zeigten 5 eine deutliche subjektive und objektive Besserung ihrer Beschwerden (s. Tabelle 3), ein männlicher Patient eine subjektiv mäßige, objektiv deutliche Besserung der Schmerzen und 2 Patienten keinen nennenswerten Effekt.</w:t>
      </w:r>
    </w:p>
    <w:p w:rsidR="00296541" w:rsidRDefault="00296541" w:rsidP="00296541">
      <w:pPr>
        <w:spacing w:line="360" w:lineRule="auto"/>
      </w:pPr>
    </w:p>
    <w:p w:rsidR="00296541" w:rsidRDefault="00296541" w:rsidP="00296541">
      <w:pPr>
        <w:spacing w:line="360" w:lineRule="auto"/>
      </w:pPr>
      <w:r>
        <w:t>Diskussion</w:t>
      </w:r>
    </w:p>
    <w:p w:rsidR="00296541" w:rsidRDefault="00296541" w:rsidP="00296541">
      <w:pPr>
        <w:spacing w:line="360" w:lineRule="auto"/>
      </w:pPr>
    </w:p>
    <w:p w:rsidR="00296541" w:rsidRDefault="00296541" w:rsidP="00296541">
      <w:pPr>
        <w:spacing w:line="360" w:lineRule="auto"/>
      </w:pPr>
      <w:r>
        <w:t>Neurochemisch wurden bei der Fibromyalgie eine Erniedrigung von Tryptophan und Serotonin im Serum (10,16) gefunden, eine Erhöhung der Substanz P im Liquor (18) und eine Dysregulation der Hypothalamus-Hypophysen-Nebennierenachse im Sinne einer neuroendokrinen Stress-Reaktion (</w:t>
      </w:r>
      <w:proofErr w:type="gramStart"/>
      <w:r>
        <w:t>7,8 )</w:t>
      </w:r>
      <w:proofErr w:type="gramEnd"/>
      <w:r>
        <w:t xml:space="preserve">. Entsprechend wurde mit den bisherigen medikamentösen Behandlungsversuchen - neben physikalischen und psychotherapeutischen Maßnahmen die wesentliche Therapie des Krankheitsbildes - eine Beeinflussung dieser Systeme versucht. Gegeben wurden mit unterschiedlichem Erfolg </w:t>
      </w:r>
      <w:proofErr w:type="spellStart"/>
      <w:r>
        <w:t>tri</w:t>
      </w:r>
      <w:proofErr w:type="spellEnd"/>
      <w:r>
        <w:t xml:space="preserve">- und </w:t>
      </w:r>
      <w:proofErr w:type="spellStart"/>
      <w:r>
        <w:t>tetrazyklische</w:t>
      </w:r>
      <w:proofErr w:type="spellEnd"/>
      <w:r>
        <w:t xml:space="preserve"> Antidepressiva, Analgetika, Neuroleptika, </w:t>
      </w:r>
      <w:proofErr w:type="spellStart"/>
      <w:r>
        <w:t>Muskelrelaxantien</w:t>
      </w:r>
      <w:proofErr w:type="spellEnd"/>
      <w:r>
        <w:t>, 5-Hydroxy-Tryptophan, S-</w:t>
      </w:r>
      <w:proofErr w:type="spellStart"/>
      <w:r>
        <w:t>Adenyl</w:t>
      </w:r>
      <w:proofErr w:type="spellEnd"/>
      <w:r>
        <w:t xml:space="preserve">-Methionin, </w:t>
      </w:r>
      <w:proofErr w:type="spellStart"/>
      <w:r>
        <w:t>Calcitonin</w:t>
      </w:r>
      <w:proofErr w:type="spellEnd"/>
      <w:r>
        <w:t>, Wachstumshormon und Serotonin-Rezeptor-Antagonisten bzw. Serotonin-</w:t>
      </w:r>
      <w:proofErr w:type="spellStart"/>
      <w:r>
        <w:t>Reuptake</w:t>
      </w:r>
      <w:proofErr w:type="spellEnd"/>
      <w:r>
        <w:t xml:space="preserve">-Hemmer (14). Als Mittel der ersten Wahl gelten </w:t>
      </w:r>
      <w:proofErr w:type="spellStart"/>
      <w:r>
        <w:t>tri</w:t>
      </w:r>
      <w:proofErr w:type="spellEnd"/>
      <w:r>
        <w:t xml:space="preserve">- und </w:t>
      </w:r>
      <w:proofErr w:type="spellStart"/>
      <w:r>
        <w:t>tetrazyklische</w:t>
      </w:r>
      <w:proofErr w:type="spellEnd"/>
      <w:r>
        <w:t xml:space="preserve"> Antidepressiva (13), die aber häufig mit unerwünschten Nebenwirkungen wie morgendlicher Benommenheit und Müdigkeit einhergehen. Nach unseren ersten Erfahrungen könnte die Gabe des reversiblen MAO A-Hemmers </w:t>
      </w:r>
      <w:proofErr w:type="spellStart"/>
      <w:r>
        <w:t>Moclobemid</w:t>
      </w:r>
      <w:proofErr w:type="spellEnd"/>
      <w:r>
        <w:t xml:space="preserve"> eine gute Alternative darstellen. Eine wesentliche Wirkung der MAO A-Hemmer ist die Erhöhung des Serotoninspiegels (2), so </w:t>
      </w:r>
      <w:proofErr w:type="spellStart"/>
      <w:r>
        <w:t>daß</w:t>
      </w:r>
      <w:proofErr w:type="spellEnd"/>
      <w:r>
        <w:t xml:space="preserve"> auch unter theoretischen Gesichtspunkten die positive Wirkung dieser Substanz bei der </w:t>
      </w:r>
      <w:r>
        <w:lastRenderedPageBreak/>
        <w:t xml:space="preserve">Fibromyalgie nicht überrascht; </w:t>
      </w:r>
      <w:proofErr w:type="spellStart"/>
      <w:r>
        <w:t>ebensowenig</w:t>
      </w:r>
      <w:proofErr w:type="spellEnd"/>
      <w:r>
        <w:t xml:space="preserve"> erstaunt die von uns beobachtete gehäufte Komorbidität von Fibromyalgie und ADHS, da bei letzterem Krankheitsbild gleichfalls niedrige Serotonin-Werte beschrieben wurden (3,6). Der beobachtete positive Effekt von </w:t>
      </w:r>
      <w:proofErr w:type="spellStart"/>
      <w:r>
        <w:t>Moclobemid</w:t>
      </w:r>
      <w:proofErr w:type="spellEnd"/>
      <w:r>
        <w:t xml:space="preserve"> wurde 1998 in einer kontrollierten Studie bestätigt (22). Nachdem auch unter Stimulanzien bei einzelnen Betroffenen mit ADHS eine deutliche Besserung der geklagten </w:t>
      </w:r>
      <w:proofErr w:type="spellStart"/>
      <w:r>
        <w:t>komorbiden</w:t>
      </w:r>
      <w:proofErr w:type="spellEnd"/>
      <w:r>
        <w:t xml:space="preserve"> Myalgien zu verzeichnen war, könnten sich möglicherweise auch diese Substanzen zumindest bei Untergruppen von Patienten mit Fibromyalgie als nützlich erweisen.</w:t>
      </w:r>
    </w:p>
    <w:p w:rsidR="00296541" w:rsidRDefault="00296541" w:rsidP="00296541">
      <w:pPr>
        <w:spacing w:line="360" w:lineRule="auto"/>
      </w:pPr>
    </w:p>
    <w:p w:rsidR="00296541" w:rsidRDefault="00296541" w:rsidP="00296541">
      <w:pPr>
        <w:spacing w:line="360" w:lineRule="auto"/>
      </w:pPr>
      <w:r>
        <w:t>Literatur</w:t>
      </w:r>
    </w:p>
    <w:p w:rsidR="00296541" w:rsidRDefault="00296541" w:rsidP="00296541">
      <w:pPr>
        <w:spacing w:line="360" w:lineRule="auto"/>
      </w:pPr>
    </w:p>
    <w:p w:rsidR="00296541" w:rsidRDefault="00296541" w:rsidP="00296541">
      <w:pPr>
        <w:spacing w:line="360" w:lineRule="auto"/>
      </w:pPr>
      <w:r>
        <w:t xml:space="preserve">1. American </w:t>
      </w:r>
      <w:proofErr w:type="spellStart"/>
      <w:r>
        <w:t>Psychiatric</w:t>
      </w:r>
      <w:proofErr w:type="spellEnd"/>
      <w:r>
        <w:t xml:space="preserve"> </w:t>
      </w:r>
      <w:proofErr w:type="spellStart"/>
      <w:r>
        <w:t>Association</w:t>
      </w:r>
      <w:proofErr w:type="spellEnd"/>
      <w:r>
        <w:t xml:space="preserve">. </w:t>
      </w:r>
      <w:proofErr w:type="spellStart"/>
      <w:r>
        <w:t>Diagnostic</w:t>
      </w:r>
      <w:proofErr w:type="spellEnd"/>
      <w:r>
        <w:t xml:space="preserve"> </w:t>
      </w:r>
      <w:proofErr w:type="spellStart"/>
      <w:r>
        <w:t>and</w:t>
      </w:r>
      <w:proofErr w:type="spellEnd"/>
      <w:r>
        <w:t xml:space="preserve"> </w:t>
      </w:r>
      <w:proofErr w:type="spellStart"/>
      <w:r>
        <w:t>statistical</w:t>
      </w:r>
      <w:proofErr w:type="spellEnd"/>
      <w:r>
        <w:t xml:space="preserve"> </w:t>
      </w:r>
      <w:proofErr w:type="spellStart"/>
      <w:r>
        <w:t>manual</w:t>
      </w:r>
      <w:proofErr w:type="spellEnd"/>
      <w:r>
        <w:t xml:space="preserve"> </w:t>
      </w:r>
      <w:proofErr w:type="spellStart"/>
      <w:r>
        <w:t>of</w:t>
      </w:r>
      <w:proofErr w:type="spellEnd"/>
      <w:r>
        <w:t xml:space="preserve"> mental </w:t>
      </w:r>
      <w:proofErr w:type="spellStart"/>
      <w:r>
        <w:t>disorders</w:t>
      </w:r>
      <w:proofErr w:type="spellEnd"/>
      <w:r>
        <w:t xml:space="preserve"> (</w:t>
      </w:r>
      <w:proofErr w:type="spellStart"/>
      <w:r>
        <w:t>Fourth</w:t>
      </w:r>
      <w:proofErr w:type="spellEnd"/>
      <w:r>
        <w:t xml:space="preserve"> Edition). Washington, DC, 1994;</w:t>
      </w:r>
    </w:p>
    <w:p w:rsidR="00296541" w:rsidRDefault="00296541" w:rsidP="00296541">
      <w:pPr>
        <w:spacing w:line="360" w:lineRule="auto"/>
      </w:pPr>
      <w:r>
        <w:t xml:space="preserve">2. Baier M, </w:t>
      </w:r>
      <w:proofErr w:type="spellStart"/>
      <w:r>
        <w:t>Dingemanse</w:t>
      </w:r>
      <w:proofErr w:type="spellEnd"/>
      <w:r>
        <w:t xml:space="preserve"> J, </w:t>
      </w:r>
      <w:proofErr w:type="spellStart"/>
      <w:r>
        <w:t>Stabl</w:t>
      </w:r>
      <w:proofErr w:type="spellEnd"/>
      <w:r>
        <w:t xml:space="preserve"> M: </w:t>
      </w:r>
      <w:proofErr w:type="spellStart"/>
      <w:r>
        <w:t>Moclobemid</w:t>
      </w:r>
      <w:proofErr w:type="spellEnd"/>
      <w:r>
        <w:t xml:space="preserve"> (</w:t>
      </w:r>
      <w:proofErr w:type="spellStart"/>
      <w:r>
        <w:t>Aurorix</w:t>
      </w:r>
      <w:proofErr w:type="spellEnd"/>
      <w:r>
        <w:t>): Ein bewährter Ansatz zur Behandlung der Depression. Psycho 22 (1996) 466-473</w:t>
      </w:r>
    </w:p>
    <w:p w:rsidR="00296541" w:rsidRDefault="00296541" w:rsidP="00296541">
      <w:pPr>
        <w:spacing w:line="360" w:lineRule="auto"/>
      </w:pPr>
      <w:r>
        <w:t xml:space="preserve">3. </w:t>
      </w:r>
      <w:proofErr w:type="spellStart"/>
      <w:r>
        <w:t>Bhagauan</w:t>
      </w:r>
      <w:proofErr w:type="spellEnd"/>
      <w:r>
        <w:t xml:space="preserve"> HN, Coleman M, </w:t>
      </w:r>
      <w:proofErr w:type="spellStart"/>
      <w:r>
        <w:t>Coursina</w:t>
      </w:r>
      <w:proofErr w:type="spellEnd"/>
      <w:r>
        <w:t xml:space="preserve"> DB: The </w:t>
      </w:r>
      <w:proofErr w:type="spellStart"/>
      <w:r>
        <w:t>effect</w:t>
      </w:r>
      <w:proofErr w:type="spellEnd"/>
      <w:r>
        <w:t xml:space="preserve"> </w:t>
      </w:r>
      <w:proofErr w:type="spellStart"/>
      <w:r>
        <w:t>of</w:t>
      </w:r>
      <w:proofErr w:type="spellEnd"/>
      <w:r>
        <w:t xml:space="preserve"> </w:t>
      </w:r>
      <w:proofErr w:type="spellStart"/>
      <w:r>
        <w:t>pyridoxine</w:t>
      </w:r>
      <w:proofErr w:type="spellEnd"/>
      <w:r>
        <w:t xml:space="preserve"> </w:t>
      </w:r>
      <w:proofErr w:type="spellStart"/>
      <w:r>
        <w:t>hydrochloride</w:t>
      </w:r>
      <w:proofErr w:type="spellEnd"/>
      <w:r>
        <w:t xml:space="preserve"> on </w:t>
      </w:r>
      <w:proofErr w:type="spellStart"/>
      <w:r>
        <w:t>blood</w:t>
      </w:r>
      <w:proofErr w:type="spellEnd"/>
      <w:r>
        <w:t xml:space="preserve"> </w:t>
      </w:r>
      <w:proofErr w:type="spellStart"/>
      <w:r>
        <w:t>serotonin</w:t>
      </w:r>
      <w:proofErr w:type="spellEnd"/>
      <w:r>
        <w:t xml:space="preserve"> </w:t>
      </w:r>
      <w:proofErr w:type="spellStart"/>
      <w:r>
        <w:t>and</w:t>
      </w:r>
      <w:proofErr w:type="spellEnd"/>
      <w:r>
        <w:t xml:space="preserve"> </w:t>
      </w:r>
      <w:proofErr w:type="spellStart"/>
      <w:r>
        <w:t>pyridoxal</w:t>
      </w:r>
      <w:proofErr w:type="spellEnd"/>
      <w:r>
        <w:t xml:space="preserve"> </w:t>
      </w:r>
      <w:proofErr w:type="spellStart"/>
      <w:r>
        <w:t>phosphate</w:t>
      </w:r>
      <w:proofErr w:type="spellEnd"/>
      <w:r>
        <w:t xml:space="preserve"> </w:t>
      </w:r>
      <w:proofErr w:type="spellStart"/>
      <w:r>
        <w:t>contents</w:t>
      </w:r>
      <w:proofErr w:type="spellEnd"/>
      <w:r>
        <w:t xml:space="preserve"> in </w:t>
      </w:r>
      <w:proofErr w:type="spellStart"/>
      <w:r>
        <w:t>hyperactive</w:t>
      </w:r>
      <w:proofErr w:type="spellEnd"/>
      <w:r>
        <w:t xml:space="preserve"> </w:t>
      </w:r>
      <w:proofErr w:type="spellStart"/>
      <w:r>
        <w:t>children</w:t>
      </w:r>
      <w:proofErr w:type="spellEnd"/>
      <w:r>
        <w:t xml:space="preserve">. </w:t>
      </w:r>
      <w:proofErr w:type="spellStart"/>
      <w:r>
        <w:t>Pediatrics</w:t>
      </w:r>
      <w:proofErr w:type="spellEnd"/>
      <w:r>
        <w:t xml:space="preserve"> 55 (1975) 437-441</w:t>
      </w:r>
    </w:p>
    <w:p w:rsidR="00296541" w:rsidRDefault="00296541" w:rsidP="00296541">
      <w:pPr>
        <w:spacing w:line="360" w:lineRule="auto"/>
      </w:pPr>
      <w:r>
        <w:t xml:space="preserve">4. </w:t>
      </w:r>
      <w:proofErr w:type="spellStart"/>
      <w:r>
        <w:t>Biederman</w:t>
      </w:r>
      <w:proofErr w:type="spellEnd"/>
      <w:r>
        <w:t xml:space="preserve"> J, </w:t>
      </w:r>
      <w:proofErr w:type="spellStart"/>
      <w:r>
        <w:t>Newcorn</w:t>
      </w:r>
      <w:proofErr w:type="spellEnd"/>
      <w:r>
        <w:t xml:space="preserve">, J, Sprich S: </w:t>
      </w:r>
      <w:proofErr w:type="spellStart"/>
      <w:r>
        <w:t>Comorbidity</w:t>
      </w:r>
      <w:proofErr w:type="spellEnd"/>
      <w:r>
        <w:t xml:space="preserve"> </w:t>
      </w:r>
      <w:proofErr w:type="spellStart"/>
      <w:r>
        <w:t>of</w:t>
      </w:r>
      <w:proofErr w:type="spellEnd"/>
      <w:r>
        <w:t xml:space="preserve"> </w:t>
      </w:r>
      <w:proofErr w:type="spellStart"/>
      <w:r>
        <w:t>attention</w:t>
      </w:r>
      <w:proofErr w:type="spellEnd"/>
      <w:r>
        <w:t xml:space="preserve"> </w:t>
      </w:r>
      <w:proofErr w:type="spellStart"/>
      <w:r>
        <w:t>deficit</w:t>
      </w:r>
      <w:proofErr w:type="spellEnd"/>
      <w:r>
        <w:t xml:space="preserve"> </w:t>
      </w:r>
      <w:proofErr w:type="spellStart"/>
      <w:r>
        <w:t>hyperactivity</w:t>
      </w:r>
      <w:proofErr w:type="spellEnd"/>
      <w:r>
        <w:t xml:space="preserve"> </w:t>
      </w:r>
      <w:proofErr w:type="spellStart"/>
      <w:r>
        <w:t>disorder</w:t>
      </w:r>
      <w:proofErr w:type="spellEnd"/>
      <w:r>
        <w:t xml:space="preserve"> </w:t>
      </w:r>
      <w:proofErr w:type="spellStart"/>
      <w:r>
        <w:t>with</w:t>
      </w:r>
      <w:proofErr w:type="spellEnd"/>
      <w:r>
        <w:t xml:space="preserve"> </w:t>
      </w:r>
      <w:proofErr w:type="spellStart"/>
      <w:r>
        <w:t>conduct</w:t>
      </w:r>
      <w:proofErr w:type="spellEnd"/>
      <w:r>
        <w:t xml:space="preserve">, depressive, </w:t>
      </w:r>
      <w:proofErr w:type="spellStart"/>
      <w:r>
        <w:t>anxiety</w:t>
      </w:r>
      <w:proofErr w:type="spellEnd"/>
      <w:r>
        <w:t xml:space="preserve">, </w:t>
      </w:r>
      <w:proofErr w:type="spellStart"/>
      <w:r>
        <w:t>and</w:t>
      </w:r>
      <w:proofErr w:type="spellEnd"/>
      <w:r>
        <w:t xml:space="preserve"> </w:t>
      </w:r>
      <w:proofErr w:type="spellStart"/>
      <w:r>
        <w:t>other</w:t>
      </w:r>
      <w:proofErr w:type="spellEnd"/>
      <w:r>
        <w:t xml:space="preserve"> </w:t>
      </w:r>
      <w:proofErr w:type="spellStart"/>
      <w:r>
        <w:t>disorders</w:t>
      </w:r>
      <w:proofErr w:type="spellEnd"/>
      <w:r>
        <w:t xml:space="preserve">. Am J </w:t>
      </w:r>
      <w:proofErr w:type="spellStart"/>
      <w:r>
        <w:t>Psychiatry</w:t>
      </w:r>
      <w:proofErr w:type="spellEnd"/>
      <w:r>
        <w:t xml:space="preserve"> 148 (1991) 564-577</w:t>
      </w:r>
    </w:p>
    <w:p w:rsidR="00296541" w:rsidRDefault="00296541" w:rsidP="00296541">
      <w:pPr>
        <w:spacing w:line="360" w:lineRule="auto"/>
      </w:pPr>
      <w:r>
        <w:t xml:space="preserve">5. Brown TE: Brown </w:t>
      </w:r>
      <w:proofErr w:type="spellStart"/>
      <w:r>
        <w:t>attention</w:t>
      </w:r>
      <w:proofErr w:type="spellEnd"/>
      <w:r>
        <w:t xml:space="preserve"> </w:t>
      </w:r>
      <w:proofErr w:type="spellStart"/>
      <w:r>
        <w:t>deficit</w:t>
      </w:r>
      <w:proofErr w:type="spellEnd"/>
      <w:r>
        <w:t xml:space="preserve"> </w:t>
      </w:r>
      <w:proofErr w:type="spellStart"/>
      <w:r>
        <w:t>disorder</w:t>
      </w:r>
      <w:proofErr w:type="spellEnd"/>
      <w:r>
        <w:t xml:space="preserve"> </w:t>
      </w:r>
      <w:proofErr w:type="spellStart"/>
      <w:proofErr w:type="gramStart"/>
      <w:r>
        <w:t>scales</w:t>
      </w:r>
      <w:proofErr w:type="spellEnd"/>
      <w:r>
        <w:t>.:</w:t>
      </w:r>
      <w:proofErr w:type="gramEnd"/>
      <w:r>
        <w:t xml:space="preserve"> The Psychological Corporation. San Antonio, TX 1996</w:t>
      </w:r>
    </w:p>
    <w:p w:rsidR="00296541" w:rsidRDefault="00296541" w:rsidP="00296541">
      <w:pPr>
        <w:spacing w:line="360" w:lineRule="auto"/>
      </w:pPr>
      <w:r>
        <w:t xml:space="preserve">6. Coleman M: Serotonin </w:t>
      </w:r>
      <w:proofErr w:type="spellStart"/>
      <w:r>
        <w:t>concentrations</w:t>
      </w:r>
      <w:proofErr w:type="spellEnd"/>
      <w:r>
        <w:t xml:space="preserve"> in </w:t>
      </w:r>
      <w:proofErr w:type="spellStart"/>
      <w:r>
        <w:t>whole</w:t>
      </w:r>
      <w:proofErr w:type="spellEnd"/>
      <w:r>
        <w:t xml:space="preserve"> </w:t>
      </w:r>
      <w:proofErr w:type="spellStart"/>
      <w:r>
        <w:t>blood</w:t>
      </w:r>
      <w:proofErr w:type="spellEnd"/>
      <w:r>
        <w:t xml:space="preserve"> </w:t>
      </w:r>
      <w:proofErr w:type="spellStart"/>
      <w:r>
        <w:t>of</w:t>
      </w:r>
      <w:proofErr w:type="spellEnd"/>
      <w:r>
        <w:t xml:space="preserve"> </w:t>
      </w:r>
      <w:proofErr w:type="spellStart"/>
      <w:r>
        <w:t>hyperactive</w:t>
      </w:r>
      <w:proofErr w:type="spellEnd"/>
      <w:r>
        <w:t xml:space="preserve"> </w:t>
      </w:r>
      <w:proofErr w:type="spellStart"/>
      <w:r>
        <w:t>children</w:t>
      </w:r>
      <w:proofErr w:type="spellEnd"/>
      <w:r>
        <w:t xml:space="preserve">. J. </w:t>
      </w:r>
      <w:proofErr w:type="spellStart"/>
      <w:r>
        <w:t>Pediat</w:t>
      </w:r>
      <w:proofErr w:type="spellEnd"/>
      <w:r>
        <w:t>. 78 (1971) 989-990</w:t>
      </w:r>
    </w:p>
    <w:p w:rsidR="00296541" w:rsidRDefault="00296541" w:rsidP="00296541">
      <w:pPr>
        <w:spacing w:line="360" w:lineRule="auto"/>
      </w:pPr>
      <w:r>
        <w:t xml:space="preserve">7. </w:t>
      </w:r>
      <w:proofErr w:type="spellStart"/>
      <w:r>
        <w:t>Crofford</w:t>
      </w:r>
      <w:proofErr w:type="spellEnd"/>
      <w:r>
        <w:t xml:space="preserve"> LJ: The </w:t>
      </w:r>
      <w:proofErr w:type="spellStart"/>
      <w:r>
        <w:t>hypothalamic-pituitary-adrenal</w:t>
      </w:r>
      <w:proofErr w:type="spellEnd"/>
      <w:r>
        <w:t xml:space="preserve"> stress </w:t>
      </w:r>
      <w:proofErr w:type="spellStart"/>
      <w:r>
        <w:t>axis</w:t>
      </w:r>
      <w:proofErr w:type="spellEnd"/>
      <w:r>
        <w:t xml:space="preserve"> in </w:t>
      </w:r>
      <w:proofErr w:type="spellStart"/>
      <w:r>
        <w:t>the</w:t>
      </w:r>
      <w:proofErr w:type="spellEnd"/>
      <w:r>
        <w:t xml:space="preserve"> </w:t>
      </w:r>
      <w:proofErr w:type="spellStart"/>
      <w:r>
        <w:t>fibromyalgia</w:t>
      </w:r>
      <w:proofErr w:type="spellEnd"/>
      <w:r>
        <w:t xml:space="preserve"> </w:t>
      </w:r>
      <w:proofErr w:type="spellStart"/>
      <w:r>
        <w:t>syndrome</w:t>
      </w:r>
      <w:proofErr w:type="spellEnd"/>
      <w:r>
        <w:t xml:space="preserve">. J </w:t>
      </w:r>
      <w:proofErr w:type="spellStart"/>
      <w:r>
        <w:t>Musculoske</w:t>
      </w:r>
      <w:proofErr w:type="spellEnd"/>
      <w:r>
        <w:t xml:space="preserve"> </w:t>
      </w:r>
      <w:proofErr w:type="spellStart"/>
      <w:r>
        <w:t>Pain</w:t>
      </w:r>
      <w:proofErr w:type="spellEnd"/>
      <w:r>
        <w:t xml:space="preserve"> 4 (1996) 181-200</w:t>
      </w:r>
    </w:p>
    <w:p w:rsidR="00296541" w:rsidRDefault="00296541" w:rsidP="00296541">
      <w:pPr>
        <w:spacing w:line="360" w:lineRule="auto"/>
      </w:pPr>
      <w:r>
        <w:t xml:space="preserve">8. </w:t>
      </w:r>
      <w:proofErr w:type="spellStart"/>
      <w:r>
        <w:t>Demitrack</w:t>
      </w:r>
      <w:proofErr w:type="spellEnd"/>
      <w:r>
        <w:t xml:space="preserve"> MA, </w:t>
      </w:r>
      <w:proofErr w:type="spellStart"/>
      <w:r>
        <w:t>Crofford</w:t>
      </w:r>
      <w:proofErr w:type="spellEnd"/>
      <w:r>
        <w:t xml:space="preserve"> LJ: </w:t>
      </w:r>
      <w:proofErr w:type="spellStart"/>
      <w:r>
        <w:t>Hypothalamic-pituitary-adrenal</w:t>
      </w:r>
      <w:proofErr w:type="spellEnd"/>
      <w:r>
        <w:t xml:space="preserve"> </w:t>
      </w:r>
      <w:proofErr w:type="spellStart"/>
      <w:r>
        <w:t>axis</w:t>
      </w:r>
      <w:proofErr w:type="spellEnd"/>
      <w:r>
        <w:t xml:space="preserve"> </w:t>
      </w:r>
      <w:proofErr w:type="spellStart"/>
      <w:r>
        <w:t>dysregulation</w:t>
      </w:r>
      <w:proofErr w:type="spellEnd"/>
      <w:r>
        <w:t xml:space="preserve"> in </w:t>
      </w:r>
      <w:proofErr w:type="spellStart"/>
      <w:r>
        <w:t>fibromyalgia</w:t>
      </w:r>
      <w:proofErr w:type="spellEnd"/>
      <w:r>
        <w:t xml:space="preserve"> </w:t>
      </w:r>
      <w:proofErr w:type="spellStart"/>
      <w:r>
        <w:t>and</w:t>
      </w:r>
      <w:proofErr w:type="spellEnd"/>
      <w:r>
        <w:t xml:space="preserve"> </w:t>
      </w:r>
      <w:proofErr w:type="spellStart"/>
      <w:r>
        <w:t>chronic</w:t>
      </w:r>
      <w:proofErr w:type="spellEnd"/>
      <w:r>
        <w:t xml:space="preserve"> </w:t>
      </w:r>
      <w:proofErr w:type="spellStart"/>
      <w:r>
        <w:t>fatigue</w:t>
      </w:r>
      <w:proofErr w:type="spellEnd"/>
      <w:r>
        <w:t xml:space="preserve"> </w:t>
      </w:r>
      <w:proofErr w:type="spellStart"/>
      <w:r>
        <w:t>syndrome</w:t>
      </w:r>
      <w:proofErr w:type="spellEnd"/>
      <w:r>
        <w:t xml:space="preserve">: An </w:t>
      </w:r>
      <w:proofErr w:type="spellStart"/>
      <w:r>
        <w:t>overview</w:t>
      </w:r>
      <w:proofErr w:type="spellEnd"/>
      <w:r>
        <w:t xml:space="preserve"> </w:t>
      </w:r>
      <w:proofErr w:type="spellStart"/>
      <w:r>
        <w:t>and</w:t>
      </w:r>
      <w:proofErr w:type="spellEnd"/>
      <w:r>
        <w:t xml:space="preserve"> </w:t>
      </w:r>
      <w:proofErr w:type="spellStart"/>
      <w:r>
        <w:t>hypothesis</w:t>
      </w:r>
      <w:proofErr w:type="spellEnd"/>
      <w:r>
        <w:t xml:space="preserve">. J. </w:t>
      </w:r>
      <w:proofErr w:type="spellStart"/>
      <w:r>
        <w:t>Musculoske</w:t>
      </w:r>
      <w:proofErr w:type="spellEnd"/>
      <w:r>
        <w:t xml:space="preserve"> </w:t>
      </w:r>
      <w:proofErr w:type="spellStart"/>
      <w:r>
        <w:t>Pain</w:t>
      </w:r>
      <w:proofErr w:type="spellEnd"/>
      <w:r>
        <w:t xml:space="preserve"> 3 (1995) 67-73</w:t>
      </w:r>
    </w:p>
    <w:p w:rsidR="00296541" w:rsidRDefault="00296541" w:rsidP="00296541">
      <w:pPr>
        <w:spacing w:line="360" w:lineRule="auto"/>
      </w:pPr>
      <w:r>
        <w:t xml:space="preserve">9. Goldstein S: Managing </w:t>
      </w:r>
      <w:proofErr w:type="spellStart"/>
      <w:r>
        <w:t>attention</w:t>
      </w:r>
      <w:proofErr w:type="spellEnd"/>
      <w:r>
        <w:t xml:space="preserve"> </w:t>
      </w:r>
      <w:proofErr w:type="spellStart"/>
      <w:r>
        <w:t>and</w:t>
      </w:r>
      <w:proofErr w:type="spellEnd"/>
      <w:r>
        <w:t xml:space="preserve"> </w:t>
      </w:r>
      <w:proofErr w:type="spellStart"/>
      <w:r>
        <w:t>learning</w:t>
      </w:r>
      <w:proofErr w:type="spellEnd"/>
      <w:r>
        <w:t xml:space="preserve"> </w:t>
      </w:r>
      <w:proofErr w:type="spellStart"/>
      <w:r>
        <w:t>disorders</w:t>
      </w:r>
      <w:proofErr w:type="spellEnd"/>
      <w:r>
        <w:t xml:space="preserve"> in </w:t>
      </w:r>
      <w:proofErr w:type="spellStart"/>
      <w:r>
        <w:t>late</w:t>
      </w:r>
      <w:proofErr w:type="spellEnd"/>
      <w:r>
        <w:t xml:space="preserve"> </w:t>
      </w:r>
      <w:proofErr w:type="spellStart"/>
      <w:r>
        <w:t>adolescence</w:t>
      </w:r>
      <w:proofErr w:type="spellEnd"/>
      <w:r>
        <w:t xml:space="preserve"> &amp; </w:t>
      </w:r>
      <w:proofErr w:type="spellStart"/>
      <w:r>
        <w:t>adulthood</w:t>
      </w:r>
      <w:proofErr w:type="spellEnd"/>
      <w:r>
        <w:t xml:space="preserve">. </w:t>
      </w:r>
      <w:proofErr w:type="spellStart"/>
      <w:r>
        <w:t>Wiley</w:t>
      </w:r>
      <w:proofErr w:type="spellEnd"/>
      <w:r>
        <w:t>, New York 1997</w:t>
      </w:r>
    </w:p>
    <w:p w:rsidR="00296541" w:rsidRDefault="00296541" w:rsidP="00296541">
      <w:pPr>
        <w:spacing w:line="360" w:lineRule="auto"/>
      </w:pPr>
      <w:r>
        <w:t xml:space="preserve">10. </w:t>
      </w:r>
      <w:proofErr w:type="spellStart"/>
      <w:r>
        <w:t>Hrycaj</w:t>
      </w:r>
      <w:proofErr w:type="spellEnd"/>
      <w:r>
        <w:t xml:space="preserve"> P, </w:t>
      </w:r>
      <w:proofErr w:type="spellStart"/>
      <w:r>
        <w:t>Strarz</w:t>
      </w:r>
      <w:proofErr w:type="spellEnd"/>
      <w:r>
        <w:t xml:space="preserve"> T, Müller W.: </w:t>
      </w:r>
      <w:proofErr w:type="spellStart"/>
      <w:r>
        <w:t>Platelet</w:t>
      </w:r>
      <w:proofErr w:type="spellEnd"/>
      <w:r>
        <w:t xml:space="preserve"> 3H-imipramine </w:t>
      </w:r>
      <w:proofErr w:type="spellStart"/>
      <w:r>
        <w:t>uptake</w:t>
      </w:r>
      <w:proofErr w:type="spellEnd"/>
      <w:r>
        <w:t xml:space="preserve"> </w:t>
      </w:r>
      <w:proofErr w:type="spellStart"/>
      <w:r>
        <w:t>receptor</w:t>
      </w:r>
      <w:proofErr w:type="spellEnd"/>
      <w:r>
        <w:t xml:space="preserve"> </w:t>
      </w:r>
      <w:proofErr w:type="spellStart"/>
      <w:r>
        <w:t>density</w:t>
      </w:r>
      <w:proofErr w:type="spellEnd"/>
      <w:r>
        <w:t xml:space="preserve"> </w:t>
      </w:r>
      <w:proofErr w:type="spellStart"/>
      <w:r>
        <w:t>and</w:t>
      </w:r>
      <w:proofErr w:type="spellEnd"/>
      <w:r>
        <w:t xml:space="preserve"> </w:t>
      </w:r>
      <w:proofErr w:type="spellStart"/>
      <w:r>
        <w:t>serum</w:t>
      </w:r>
      <w:proofErr w:type="spellEnd"/>
      <w:r>
        <w:t xml:space="preserve"> </w:t>
      </w:r>
      <w:proofErr w:type="spellStart"/>
      <w:r>
        <w:t>serotonin</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fibromyalgia</w:t>
      </w:r>
      <w:proofErr w:type="spellEnd"/>
      <w:r>
        <w:t>/</w:t>
      </w:r>
      <w:proofErr w:type="spellStart"/>
      <w:r>
        <w:t>fibrositis</w:t>
      </w:r>
      <w:proofErr w:type="spellEnd"/>
      <w:r>
        <w:t xml:space="preserve"> </w:t>
      </w:r>
      <w:proofErr w:type="spellStart"/>
      <w:r>
        <w:t>syndrome</w:t>
      </w:r>
      <w:proofErr w:type="spellEnd"/>
      <w:r>
        <w:t xml:space="preserve">. J. </w:t>
      </w:r>
      <w:proofErr w:type="spellStart"/>
      <w:r>
        <w:t>Rheumatol</w:t>
      </w:r>
      <w:proofErr w:type="spellEnd"/>
      <w:r>
        <w:t>. 20 (1992) 593-598</w:t>
      </w:r>
    </w:p>
    <w:p w:rsidR="00296541" w:rsidRDefault="00296541" w:rsidP="00296541">
      <w:pPr>
        <w:spacing w:line="360" w:lineRule="auto"/>
      </w:pPr>
      <w:r>
        <w:lastRenderedPageBreak/>
        <w:t xml:space="preserve">11. Krause KH, Krause J, </w:t>
      </w:r>
      <w:proofErr w:type="spellStart"/>
      <w:r>
        <w:t>Magyarosy</w:t>
      </w:r>
      <w:proofErr w:type="spellEnd"/>
      <w:r>
        <w:t xml:space="preserve"> I, Ernst E, Pongratz D: </w:t>
      </w:r>
      <w:proofErr w:type="spellStart"/>
      <w:r>
        <w:t>Fibromyalgia</w:t>
      </w:r>
      <w:proofErr w:type="spellEnd"/>
      <w:r>
        <w:t xml:space="preserve"> </w:t>
      </w:r>
      <w:proofErr w:type="spellStart"/>
      <w:r>
        <w:t>syndrome</w:t>
      </w:r>
      <w:proofErr w:type="spellEnd"/>
      <w:r>
        <w:t xml:space="preserve"> </w:t>
      </w:r>
      <w:proofErr w:type="spellStart"/>
      <w:r>
        <w:t>and</w:t>
      </w:r>
      <w:proofErr w:type="spellEnd"/>
      <w:r>
        <w:t xml:space="preserve"> </w:t>
      </w:r>
      <w:proofErr w:type="spellStart"/>
      <w:r>
        <w:t>attention</w:t>
      </w:r>
      <w:proofErr w:type="spellEnd"/>
      <w:r>
        <w:t xml:space="preserve"> </w:t>
      </w:r>
      <w:proofErr w:type="spellStart"/>
      <w:r>
        <w:t>deficit</w:t>
      </w:r>
      <w:proofErr w:type="spellEnd"/>
      <w:r>
        <w:t xml:space="preserve"> </w:t>
      </w:r>
      <w:proofErr w:type="spellStart"/>
      <w:r>
        <w:t>hyperactivity</w:t>
      </w:r>
      <w:proofErr w:type="spellEnd"/>
      <w:r>
        <w:t xml:space="preserve"> </w:t>
      </w:r>
      <w:proofErr w:type="spellStart"/>
      <w:r>
        <w:t>disorder</w:t>
      </w:r>
      <w:proofErr w:type="spellEnd"/>
      <w:r>
        <w:t xml:space="preserve">: </w:t>
      </w:r>
      <w:proofErr w:type="spellStart"/>
      <w:r>
        <w:t>Is</w:t>
      </w:r>
      <w:proofErr w:type="spellEnd"/>
      <w:r>
        <w:t xml:space="preserve"> </w:t>
      </w:r>
      <w:proofErr w:type="spellStart"/>
      <w:r>
        <w:t>there</w:t>
      </w:r>
      <w:proofErr w:type="spellEnd"/>
      <w:r>
        <w:t xml:space="preserve"> a </w:t>
      </w:r>
      <w:proofErr w:type="spellStart"/>
      <w:r>
        <w:t>comorbidity</w:t>
      </w:r>
      <w:proofErr w:type="spellEnd"/>
      <w:r>
        <w:t xml:space="preserve"> </w:t>
      </w:r>
      <w:proofErr w:type="spellStart"/>
      <w:r>
        <w:t>and</w:t>
      </w:r>
      <w:proofErr w:type="spellEnd"/>
      <w:r>
        <w:t xml:space="preserve"> </w:t>
      </w:r>
      <w:proofErr w:type="spellStart"/>
      <w:r>
        <w:t>are</w:t>
      </w:r>
      <w:proofErr w:type="spellEnd"/>
      <w:r>
        <w:t xml:space="preserve"> </w:t>
      </w:r>
      <w:proofErr w:type="spellStart"/>
      <w:r>
        <w:t>there</w:t>
      </w:r>
      <w:proofErr w:type="spellEnd"/>
      <w:r>
        <w:t xml:space="preserve"> </w:t>
      </w:r>
      <w:proofErr w:type="spellStart"/>
      <w:r>
        <w:t>consequences</w:t>
      </w:r>
      <w:proofErr w:type="spellEnd"/>
      <w:r>
        <w:t xml:space="preserve"> </w:t>
      </w:r>
      <w:proofErr w:type="spellStart"/>
      <w:r>
        <w:t>for</w:t>
      </w:r>
      <w:proofErr w:type="spellEnd"/>
      <w:r>
        <w:t xml:space="preserve"> </w:t>
      </w:r>
      <w:proofErr w:type="spellStart"/>
      <w:r>
        <w:t>the</w:t>
      </w:r>
      <w:proofErr w:type="spellEnd"/>
      <w:r>
        <w:t xml:space="preserve"> </w:t>
      </w:r>
      <w:proofErr w:type="spellStart"/>
      <w:r>
        <w:t>therapy</w:t>
      </w:r>
      <w:proofErr w:type="spellEnd"/>
      <w:r>
        <w:t xml:space="preserve"> </w:t>
      </w:r>
      <w:proofErr w:type="spellStart"/>
      <w:r>
        <w:t>of</w:t>
      </w:r>
      <w:proofErr w:type="spellEnd"/>
      <w:r>
        <w:t xml:space="preserve"> </w:t>
      </w:r>
      <w:proofErr w:type="spellStart"/>
      <w:r>
        <w:t>fibromyalgia</w:t>
      </w:r>
      <w:proofErr w:type="spellEnd"/>
      <w:r>
        <w:t xml:space="preserve"> </w:t>
      </w:r>
      <w:proofErr w:type="spellStart"/>
      <w:r>
        <w:t>syndrome</w:t>
      </w:r>
      <w:proofErr w:type="spellEnd"/>
      <w:r>
        <w:t xml:space="preserve">? J. </w:t>
      </w:r>
      <w:proofErr w:type="spellStart"/>
      <w:r>
        <w:t>Musculoske</w:t>
      </w:r>
      <w:proofErr w:type="spellEnd"/>
      <w:r>
        <w:t xml:space="preserve"> </w:t>
      </w:r>
      <w:proofErr w:type="spellStart"/>
      <w:r>
        <w:t>Pain</w:t>
      </w:r>
      <w:proofErr w:type="spellEnd"/>
      <w:r>
        <w:t xml:space="preserve"> 6 (1998) 111-116</w:t>
      </w:r>
    </w:p>
    <w:p w:rsidR="00296541" w:rsidRDefault="00296541" w:rsidP="00296541">
      <w:pPr>
        <w:spacing w:line="360" w:lineRule="auto"/>
      </w:pPr>
      <w:r>
        <w:t>12. Krause KH, Krause J, Trott GE: Das hyperkinetische Syndrom (Aufmerksamkeitsdefizit-/Hyperaktivitätsstörung) des Erwachsenenalters. Nervenarzt 69 (1998) 543-556</w:t>
      </w:r>
    </w:p>
    <w:p w:rsidR="00296541" w:rsidRDefault="00296541" w:rsidP="00296541">
      <w:pPr>
        <w:spacing w:line="360" w:lineRule="auto"/>
      </w:pPr>
      <w:r>
        <w:t xml:space="preserve">13. McCain GA: A </w:t>
      </w:r>
      <w:proofErr w:type="spellStart"/>
      <w:r>
        <w:t>clinical</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fibromyalgia</w:t>
      </w:r>
      <w:proofErr w:type="spellEnd"/>
      <w:r>
        <w:t xml:space="preserve"> </w:t>
      </w:r>
      <w:proofErr w:type="spellStart"/>
      <w:r>
        <w:t>syndrome</w:t>
      </w:r>
      <w:proofErr w:type="spellEnd"/>
      <w:r>
        <w:t xml:space="preserve">. J. </w:t>
      </w:r>
      <w:proofErr w:type="spellStart"/>
      <w:r>
        <w:t>Musculoske</w:t>
      </w:r>
      <w:proofErr w:type="spellEnd"/>
      <w:r>
        <w:t xml:space="preserve"> </w:t>
      </w:r>
      <w:proofErr w:type="spellStart"/>
      <w:r>
        <w:t>Pain</w:t>
      </w:r>
      <w:proofErr w:type="spellEnd"/>
      <w:r>
        <w:t xml:space="preserve"> 4 (1996) 9-34</w:t>
      </w:r>
    </w:p>
    <w:p w:rsidR="00296541" w:rsidRDefault="00296541" w:rsidP="00296541">
      <w:pPr>
        <w:spacing w:line="360" w:lineRule="auto"/>
      </w:pPr>
      <w:r>
        <w:t xml:space="preserve">14. Müller W, Lautenschläger I.: Die generalisierte </w:t>
      </w:r>
      <w:proofErr w:type="spellStart"/>
      <w:r>
        <w:t>Tendomyopathie</w:t>
      </w:r>
      <w:proofErr w:type="spellEnd"/>
      <w:r>
        <w:t xml:space="preserve"> (GTM) - Teil 1: Klinik, Verlauf und Differentialdiagnose. Z. </w:t>
      </w:r>
      <w:proofErr w:type="spellStart"/>
      <w:r>
        <w:t>Rheumatol</w:t>
      </w:r>
      <w:proofErr w:type="spellEnd"/>
      <w:r>
        <w:t xml:space="preserve">. 49 (1990) 11-21 </w:t>
      </w:r>
    </w:p>
    <w:p w:rsidR="00296541" w:rsidRDefault="00296541" w:rsidP="00296541">
      <w:pPr>
        <w:spacing w:line="360" w:lineRule="auto"/>
      </w:pPr>
      <w:r>
        <w:t>15. Nadeau KG (</w:t>
      </w:r>
      <w:proofErr w:type="spellStart"/>
      <w:r>
        <w:t>ed</w:t>
      </w:r>
      <w:proofErr w:type="spellEnd"/>
      <w:r>
        <w:t xml:space="preserve">): A </w:t>
      </w:r>
      <w:proofErr w:type="spellStart"/>
      <w:r>
        <w:t>comprehensive</w:t>
      </w:r>
      <w:proofErr w:type="spellEnd"/>
      <w:r>
        <w:t xml:space="preserve"> </w:t>
      </w:r>
      <w:proofErr w:type="spellStart"/>
      <w:r>
        <w:t>guide</w:t>
      </w:r>
      <w:proofErr w:type="spellEnd"/>
      <w:r>
        <w:t xml:space="preserve"> </w:t>
      </w:r>
      <w:proofErr w:type="spellStart"/>
      <w:r>
        <w:t>to</w:t>
      </w:r>
      <w:proofErr w:type="spellEnd"/>
      <w:r>
        <w:t xml:space="preserve"> </w:t>
      </w:r>
      <w:proofErr w:type="spellStart"/>
      <w:r>
        <w:t>attention</w:t>
      </w:r>
      <w:proofErr w:type="spellEnd"/>
      <w:r>
        <w:t xml:space="preserve"> </w:t>
      </w:r>
      <w:proofErr w:type="spellStart"/>
      <w:r>
        <w:t>deficit</w:t>
      </w:r>
      <w:proofErr w:type="spellEnd"/>
      <w:r>
        <w:t xml:space="preserve"> </w:t>
      </w:r>
      <w:proofErr w:type="spellStart"/>
      <w:r>
        <w:t>disorder</w:t>
      </w:r>
      <w:proofErr w:type="spellEnd"/>
      <w:r>
        <w:t xml:space="preserve"> in </w:t>
      </w:r>
      <w:proofErr w:type="spellStart"/>
      <w:r>
        <w:t>adults</w:t>
      </w:r>
      <w:proofErr w:type="spellEnd"/>
      <w:r>
        <w:t>. Brunner/</w:t>
      </w:r>
      <w:proofErr w:type="spellStart"/>
      <w:r>
        <w:t>Mazel</w:t>
      </w:r>
      <w:proofErr w:type="spellEnd"/>
      <w:r>
        <w:t>, New York 1995</w:t>
      </w:r>
    </w:p>
    <w:p w:rsidR="00296541" w:rsidRDefault="00296541" w:rsidP="00296541">
      <w:pPr>
        <w:spacing w:line="360" w:lineRule="auto"/>
      </w:pPr>
      <w:r>
        <w:t xml:space="preserve">16. Russell IJ: </w:t>
      </w:r>
      <w:proofErr w:type="spellStart"/>
      <w:r>
        <w:t>Neurochemical</w:t>
      </w:r>
      <w:proofErr w:type="spellEnd"/>
      <w:r>
        <w:t xml:space="preserve"> </w:t>
      </w:r>
      <w:proofErr w:type="spellStart"/>
      <w:r>
        <w:t>pathogenesis</w:t>
      </w:r>
      <w:proofErr w:type="spellEnd"/>
      <w:r>
        <w:t xml:space="preserve"> </w:t>
      </w:r>
      <w:proofErr w:type="spellStart"/>
      <w:r>
        <w:t>of</w:t>
      </w:r>
      <w:proofErr w:type="spellEnd"/>
      <w:r>
        <w:t xml:space="preserve"> </w:t>
      </w:r>
      <w:proofErr w:type="spellStart"/>
      <w:r>
        <w:t>fibromyalgia</w:t>
      </w:r>
      <w:proofErr w:type="spellEnd"/>
      <w:r>
        <w:t xml:space="preserve"> </w:t>
      </w:r>
      <w:proofErr w:type="spellStart"/>
      <w:r>
        <w:t>syndrome</w:t>
      </w:r>
      <w:proofErr w:type="spellEnd"/>
      <w:r>
        <w:t xml:space="preserve">. J. </w:t>
      </w:r>
      <w:proofErr w:type="spellStart"/>
      <w:r>
        <w:t>Musculoske</w:t>
      </w:r>
      <w:proofErr w:type="spellEnd"/>
      <w:r>
        <w:t xml:space="preserve"> </w:t>
      </w:r>
      <w:proofErr w:type="spellStart"/>
      <w:r>
        <w:t>Pain</w:t>
      </w:r>
      <w:proofErr w:type="spellEnd"/>
      <w:r>
        <w:t xml:space="preserve"> 4 (1996) 61-92</w:t>
      </w:r>
    </w:p>
    <w:p w:rsidR="00296541" w:rsidRDefault="00296541" w:rsidP="00296541">
      <w:pPr>
        <w:spacing w:line="360" w:lineRule="auto"/>
      </w:pPr>
      <w:r>
        <w:t xml:space="preserve">17. Trott GE, Friese HJ, Menzel M, Nissen G: </w:t>
      </w:r>
      <w:proofErr w:type="spellStart"/>
      <w:r>
        <w:t>Use</w:t>
      </w:r>
      <w:proofErr w:type="spellEnd"/>
      <w:r>
        <w:t xml:space="preserve"> </w:t>
      </w:r>
      <w:proofErr w:type="spellStart"/>
      <w:r>
        <w:t>of</w:t>
      </w:r>
      <w:proofErr w:type="spellEnd"/>
      <w:r>
        <w:t xml:space="preserve"> </w:t>
      </w:r>
      <w:proofErr w:type="spellStart"/>
      <w:r>
        <w:t>moclobemide</w:t>
      </w:r>
      <w:proofErr w:type="spellEnd"/>
      <w:r>
        <w:t xml:space="preserve"> in </w:t>
      </w:r>
      <w:proofErr w:type="spellStart"/>
      <w:r>
        <w:t>children</w:t>
      </w:r>
      <w:proofErr w:type="spellEnd"/>
      <w:r>
        <w:t xml:space="preserve"> </w:t>
      </w:r>
      <w:proofErr w:type="spellStart"/>
      <w:r>
        <w:t>with</w:t>
      </w:r>
      <w:proofErr w:type="spellEnd"/>
      <w:r>
        <w:t xml:space="preserve"> </w:t>
      </w:r>
      <w:proofErr w:type="spellStart"/>
      <w:r>
        <w:t>attention</w:t>
      </w:r>
      <w:proofErr w:type="spellEnd"/>
      <w:r>
        <w:t xml:space="preserve"> </w:t>
      </w:r>
      <w:proofErr w:type="spellStart"/>
      <w:r>
        <w:t>deficit</w:t>
      </w:r>
      <w:proofErr w:type="spellEnd"/>
      <w:r>
        <w:t xml:space="preserve"> </w:t>
      </w:r>
      <w:proofErr w:type="spellStart"/>
      <w:r>
        <w:t>hyperactivity</w:t>
      </w:r>
      <w:proofErr w:type="spellEnd"/>
      <w:r>
        <w:t xml:space="preserve"> </w:t>
      </w:r>
      <w:proofErr w:type="spellStart"/>
      <w:r>
        <w:t>disorder</w:t>
      </w:r>
      <w:proofErr w:type="spellEnd"/>
      <w:r>
        <w:t xml:space="preserve">. </w:t>
      </w:r>
      <w:proofErr w:type="spellStart"/>
      <w:r>
        <w:t>Psychopharmacology</w:t>
      </w:r>
      <w:proofErr w:type="spellEnd"/>
      <w:r>
        <w:t xml:space="preserve"> 106 (1992) S134-S136</w:t>
      </w:r>
    </w:p>
    <w:p w:rsidR="00296541" w:rsidRDefault="00296541" w:rsidP="00296541">
      <w:pPr>
        <w:spacing w:line="360" w:lineRule="auto"/>
      </w:pPr>
      <w:r>
        <w:t xml:space="preserve">18. </w:t>
      </w:r>
      <w:proofErr w:type="spellStart"/>
      <w:r>
        <w:t>Vaeroy</w:t>
      </w:r>
      <w:proofErr w:type="spellEnd"/>
      <w:r>
        <w:t xml:space="preserve"> H, Helle R, </w:t>
      </w:r>
      <w:proofErr w:type="spellStart"/>
      <w:r>
        <w:t>Forre</w:t>
      </w:r>
      <w:proofErr w:type="spellEnd"/>
      <w:r>
        <w:t xml:space="preserve"> O, Kass E, </w:t>
      </w:r>
      <w:proofErr w:type="spellStart"/>
      <w:r>
        <w:t>Terenius</w:t>
      </w:r>
      <w:proofErr w:type="spellEnd"/>
      <w:r>
        <w:t xml:space="preserve"> L: </w:t>
      </w:r>
      <w:proofErr w:type="spellStart"/>
      <w:r>
        <w:t>Elevated</w:t>
      </w:r>
      <w:proofErr w:type="spellEnd"/>
      <w:r>
        <w:t xml:space="preserve"> CSF </w:t>
      </w:r>
      <w:proofErr w:type="spellStart"/>
      <w:r>
        <w:t>levels</w:t>
      </w:r>
      <w:proofErr w:type="spellEnd"/>
      <w:r>
        <w:t xml:space="preserve"> </w:t>
      </w:r>
      <w:proofErr w:type="spellStart"/>
      <w:r>
        <w:t>of</w:t>
      </w:r>
      <w:proofErr w:type="spellEnd"/>
      <w:r>
        <w:t xml:space="preserve"> </w:t>
      </w:r>
      <w:proofErr w:type="spellStart"/>
      <w:r>
        <w:t>substance</w:t>
      </w:r>
      <w:proofErr w:type="spellEnd"/>
      <w:r>
        <w:t xml:space="preserve"> P </w:t>
      </w:r>
      <w:proofErr w:type="spellStart"/>
      <w:r>
        <w:t>and</w:t>
      </w:r>
      <w:proofErr w:type="spellEnd"/>
      <w:r>
        <w:t xml:space="preserve"> high </w:t>
      </w:r>
      <w:proofErr w:type="spellStart"/>
      <w:r>
        <w:t>incidence</w:t>
      </w:r>
      <w:proofErr w:type="spellEnd"/>
      <w:r>
        <w:t xml:space="preserve"> </w:t>
      </w:r>
      <w:proofErr w:type="spellStart"/>
      <w:r>
        <w:t>of</w:t>
      </w:r>
      <w:proofErr w:type="spellEnd"/>
      <w:r>
        <w:t xml:space="preserve"> </w:t>
      </w:r>
      <w:proofErr w:type="spellStart"/>
      <w:r>
        <w:t>Raynaud's</w:t>
      </w:r>
      <w:proofErr w:type="spellEnd"/>
      <w:r>
        <w:t xml:space="preserve"> </w:t>
      </w:r>
      <w:proofErr w:type="spellStart"/>
      <w:r>
        <w:t>phenomenon</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fibromyalgia</w:t>
      </w:r>
      <w:proofErr w:type="spellEnd"/>
      <w:r>
        <w:t xml:space="preserve">: New </w:t>
      </w:r>
      <w:proofErr w:type="spellStart"/>
      <w:r>
        <w:t>features</w:t>
      </w:r>
      <w:proofErr w:type="spellEnd"/>
      <w:r>
        <w:t xml:space="preserve"> </w:t>
      </w:r>
      <w:proofErr w:type="spellStart"/>
      <w:r>
        <w:t>for</w:t>
      </w:r>
      <w:proofErr w:type="spellEnd"/>
      <w:r>
        <w:t xml:space="preserve"> </w:t>
      </w:r>
      <w:proofErr w:type="spellStart"/>
      <w:r>
        <w:t>diagnosis</w:t>
      </w:r>
      <w:proofErr w:type="spellEnd"/>
      <w:r>
        <w:t xml:space="preserve">. </w:t>
      </w:r>
      <w:proofErr w:type="spellStart"/>
      <w:r>
        <w:t>Pain</w:t>
      </w:r>
      <w:proofErr w:type="spellEnd"/>
      <w:r>
        <w:t xml:space="preserve"> 32 (1988) 21-26</w:t>
      </w:r>
    </w:p>
    <w:p w:rsidR="00296541" w:rsidRDefault="00296541" w:rsidP="00296541">
      <w:pPr>
        <w:spacing w:line="360" w:lineRule="auto"/>
      </w:pPr>
      <w:r>
        <w:t xml:space="preserve">19. Ward MF, Wender PH, </w:t>
      </w:r>
      <w:proofErr w:type="spellStart"/>
      <w:r>
        <w:t>Reimherr</w:t>
      </w:r>
      <w:proofErr w:type="spellEnd"/>
      <w:r>
        <w:t xml:space="preserve"> FW: The Wender Utah Rating </w:t>
      </w:r>
      <w:proofErr w:type="spellStart"/>
      <w:r>
        <w:t>Scale</w:t>
      </w:r>
      <w:proofErr w:type="spellEnd"/>
      <w:r>
        <w:t xml:space="preserve">: An </w:t>
      </w:r>
      <w:proofErr w:type="spellStart"/>
      <w:r>
        <w:t>aid</w:t>
      </w:r>
      <w:proofErr w:type="spellEnd"/>
      <w:r>
        <w:t xml:space="preserve"> in </w:t>
      </w:r>
      <w:proofErr w:type="spellStart"/>
      <w:r>
        <w:t>the</w:t>
      </w:r>
      <w:proofErr w:type="spellEnd"/>
      <w:r>
        <w:t xml:space="preserve"> </w:t>
      </w:r>
      <w:proofErr w:type="spellStart"/>
      <w:r>
        <w:t>retrospective</w:t>
      </w:r>
      <w:proofErr w:type="spellEnd"/>
      <w:r>
        <w:t xml:space="preserve"> </w:t>
      </w:r>
      <w:proofErr w:type="spellStart"/>
      <w:r>
        <w:t>diagnosis</w:t>
      </w:r>
      <w:proofErr w:type="spellEnd"/>
      <w:r>
        <w:t xml:space="preserve"> </w:t>
      </w:r>
      <w:proofErr w:type="spellStart"/>
      <w:r>
        <w:t>of</w:t>
      </w:r>
      <w:proofErr w:type="spellEnd"/>
      <w:r>
        <w:t xml:space="preserve"> </w:t>
      </w:r>
      <w:proofErr w:type="spellStart"/>
      <w:r>
        <w:t>childhood</w:t>
      </w:r>
      <w:proofErr w:type="spellEnd"/>
      <w:r>
        <w:t xml:space="preserve"> </w:t>
      </w:r>
      <w:proofErr w:type="spellStart"/>
      <w:r>
        <w:t>attention</w:t>
      </w:r>
      <w:proofErr w:type="spellEnd"/>
      <w:r>
        <w:t xml:space="preserve"> </w:t>
      </w:r>
      <w:proofErr w:type="spellStart"/>
      <w:r>
        <w:t>deficit</w:t>
      </w:r>
      <w:proofErr w:type="spellEnd"/>
      <w:r>
        <w:t xml:space="preserve"> </w:t>
      </w:r>
      <w:proofErr w:type="spellStart"/>
      <w:r>
        <w:t>hyperactivity</w:t>
      </w:r>
      <w:proofErr w:type="spellEnd"/>
      <w:r>
        <w:t xml:space="preserve"> </w:t>
      </w:r>
      <w:proofErr w:type="spellStart"/>
      <w:r>
        <w:t>disorder</w:t>
      </w:r>
      <w:proofErr w:type="spellEnd"/>
      <w:r>
        <w:t xml:space="preserve">. Am J </w:t>
      </w:r>
      <w:proofErr w:type="spellStart"/>
      <w:r>
        <w:t>Psychiatry</w:t>
      </w:r>
      <w:proofErr w:type="spellEnd"/>
      <w:r>
        <w:t xml:space="preserve"> 150 (1993) 885-890</w:t>
      </w:r>
    </w:p>
    <w:p w:rsidR="00296541" w:rsidRDefault="00296541" w:rsidP="00296541">
      <w:pPr>
        <w:spacing w:line="360" w:lineRule="auto"/>
      </w:pPr>
      <w:r>
        <w:t>20. Wender PH: Attention-</w:t>
      </w:r>
      <w:proofErr w:type="spellStart"/>
      <w:r>
        <w:t>deficit</w:t>
      </w:r>
      <w:proofErr w:type="spellEnd"/>
      <w:r>
        <w:t xml:space="preserve"> </w:t>
      </w:r>
      <w:proofErr w:type="spellStart"/>
      <w:r>
        <w:t>hyperactivity</w:t>
      </w:r>
      <w:proofErr w:type="spellEnd"/>
      <w:r>
        <w:t xml:space="preserve"> </w:t>
      </w:r>
      <w:proofErr w:type="spellStart"/>
      <w:r>
        <w:t>disorder</w:t>
      </w:r>
      <w:proofErr w:type="spellEnd"/>
      <w:r>
        <w:t xml:space="preserve"> in </w:t>
      </w:r>
      <w:proofErr w:type="spellStart"/>
      <w:r>
        <w:t>adults</w:t>
      </w:r>
      <w:proofErr w:type="spellEnd"/>
      <w:r>
        <w:t>. Oxford University Press, New York, Oxford 1995</w:t>
      </w:r>
    </w:p>
    <w:p w:rsidR="00296541" w:rsidRDefault="00296541" w:rsidP="00296541">
      <w:pPr>
        <w:spacing w:line="360" w:lineRule="auto"/>
      </w:pPr>
      <w:r>
        <w:t xml:space="preserve">21. Wolfe F, </w:t>
      </w:r>
      <w:proofErr w:type="spellStart"/>
      <w:r>
        <w:t>Smythe</w:t>
      </w:r>
      <w:proofErr w:type="spellEnd"/>
      <w:r>
        <w:t xml:space="preserve"> H, Yunus MB, Bennet RM, Bombardier C, Goldenberg DL, </w:t>
      </w:r>
      <w:proofErr w:type="spellStart"/>
      <w:r>
        <w:t>Tugwell</w:t>
      </w:r>
      <w:proofErr w:type="spellEnd"/>
      <w:r>
        <w:t xml:space="preserve"> P, Campbell SM, </w:t>
      </w:r>
      <w:proofErr w:type="spellStart"/>
      <w:r>
        <w:t>Abeles</w:t>
      </w:r>
      <w:proofErr w:type="spellEnd"/>
      <w:r>
        <w:t xml:space="preserve"> M, Clark P: The American College </w:t>
      </w:r>
      <w:proofErr w:type="spellStart"/>
      <w:r>
        <w:t>of</w:t>
      </w:r>
      <w:proofErr w:type="spellEnd"/>
      <w:r>
        <w:t xml:space="preserve"> </w:t>
      </w:r>
      <w:proofErr w:type="spellStart"/>
      <w:r>
        <w:t>Rheumatology</w:t>
      </w:r>
      <w:proofErr w:type="spellEnd"/>
      <w:r>
        <w:t xml:space="preserve"> 1990 </w:t>
      </w:r>
      <w:proofErr w:type="spellStart"/>
      <w:r>
        <w:t>criteria</w:t>
      </w:r>
      <w:proofErr w:type="spellEnd"/>
      <w:r>
        <w:t xml:space="preserve"> </w:t>
      </w:r>
      <w:proofErr w:type="spellStart"/>
      <w:r>
        <w:t>for</w:t>
      </w:r>
      <w:proofErr w:type="spellEnd"/>
      <w:r>
        <w:t xml:space="preserve"> </w:t>
      </w:r>
      <w:proofErr w:type="spellStart"/>
      <w:r>
        <w:t>the</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fibromyalgia</w:t>
      </w:r>
      <w:proofErr w:type="spellEnd"/>
      <w:r>
        <w:t xml:space="preserve">: Report </w:t>
      </w:r>
      <w:proofErr w:type="spellStart"/>
      <w:r>
        <w:t>of</w:t>
      </w:r>
      <w:proofErr w:type="spellEnd"/>
      <w:r>
        <w:t xml:space="preserve"> a </w:t>
      </w:r>
      <w:proofErr w:type="spellStart"/>
      <w:r>
        <w:t>multicenter</w:t>
      </w:r>
      <w:proofErr w:type="spellEnd"/>
      <w:r>
        <w:t xml:space="preserve"> </w:t>
      </w:r>
      <w:proofErr w:type="spellStart"/>
      <w:r>
        <w:t>criteria</w:t>
      </w:r>
      <w:proofErr w:type="spellEnd"/>
      <w:r>
        <w:t xml:space="preserve"> </w:t>
      </w:r>
      <w:proofErr w:type="spellStart"/>
      <w:r>
        <w:t>committee</w:t>
      </w:r>
      <w:proofErr w:type="spellEnd"/>
      <w:r>
        <w:t xml:space="preserve">. Arth. </w:t>
      </w:r>
      <w:proofErr w:type="spellStart"/>
      <w:r>
        <w:t>Rheum</w:t>
      </w:r>
      <w:proofErr w:type="spellEnd"/>
      <w:r>
        <w:t>. 33 (1990) 160-172</w:t>
      </w:r>
    </w:p>
    <w:p w:rsidR="00296541" w:rsidRDefault="00296541" w:rsidP="00296541">
      <w:pPr>
        <w:spacing w:line="360" w:lineRule="auto"/>
      </w:pPr>
      <w:r>
        <w:t xml:space="preserve">22. </w:t>
      </w:r>
      <w:proofErr w:type="spellStart"/>
      <w:r>
        <w:t>Yavuzer</w:t>
      </w:r>
      <w:proofErr w:type="spellEnd"/>
      <w:r>
        <w:t xml:space="preserve"> G, </w:t>
      </w:r>
      <w:proofErr w:type="spellStart"/>
      <w:r>
        <w:t>Kücükdeveni</w:t>
      </w:r>
      <w:proofErr w:type="spellEnd"/>
      <w:r>
        <w:t xml:space="preserve"> A, </w:t>
      </w:r>
      <w:proofErr w:type="spellStart"/>
      <w:r>
        <w:t>Arasil</w:t>
      </w:r>
      <w:proofErr w:type="spellEnd"/>
      <w:r>
        <w:t xml:space="preserve"> T, </w:t>
      </w:r>
      <w:proofErr w:type="spellStart"/>
      <w:r>
        <w:t>Elhan</w:t>
      </w:r>
      <w:proofErr w:type="spellEnd"/>
      <w:r>
        <w:t xml:space="preserve"> A: </w:t>
      </w:r>
      <w:proofErr w:type="spellStart"/>
      <w:r>
        <w:t>Moclobemid</w:t>
      </w:r>
      <w:proofErr w:type="spellEnd"/>
      <w:r>
        <w:t xml:space="preserve"> </w:t>
      </w:r>
      <w:proofErr w:type="spellStart"/>
      <w:r>
        <w:t>treatment</w:t>
      </w:r>
      <w:proofErr w:type="spellEnd"/>
      <w:r>
        <w:t xml:space="preserve"> in </w:t>
      </w:r>
      <w:proofErr w:type="spellStart"/>
      <w:r>
        <w:t>primary</w:t>
      </w:r>
      <w:proofErr w:type="spellEnd"/>
      <w:r>
        <w:t xml:space="preserve"> </w:t>
      </w:r>
      <w:proofErr w:type="spellStart"/>
      <w:r>
        <w:t>fibromyalgia</w:t>
      </w:r>
      <w:proofErr w:type="spellEnd"/>
      <w:r>
        <w:t xml:space="preserve"> </w:t>
      </w:r>
      <w:proofErr w:type="spellStart"/>
      <w:r>
        <w:t>syndrome</w:t>
      </w:r>
      <w:proofErr w:type="spellEnd"/>
      <w:r>
        <w:t xml:space="preserve">. </w:t>
      </w:r>
      <w:proofErr w:type="spellStart"/>
      <w:r>
        <w:t>Eur</w:t>
      </w:r>
      <w:proofErr w:type="spellEnd"/>
      <w:r>
        <w:t xml:space="preserve"> J </w:t>
      </w:r>
      <w:proofErr w:type="spellStart"/>
      <w:r>
        <w:t>Phys</w:t>
      </w:r>
      <w:proofErr w:type="spellEnd"/>
      <w:r>
        <w:t xml:space="preserve"> </w:t>
      </w:r>
      <w:proofErr w:type="spellStart"/>
      <w:r>
        <w:t>Med</w:t>
      </w:r>
      <w:proofErr w:type="spellEnd"/>
      <w:r>
        <w:t xml:space="preserve"> </w:t>
      </w:r>
      <w:proofErr w:type="spellStart"/>
      <w:r>
        <w:t>Rehab</w:t>
      </w:r>
      <w:proofErr w:type="spellEnd"/>
      <w:r>
        <w:t xml:space="preserve">  8 (1998) 35-38</w:t>
      </w:r>
    </w:p>
    <w:p w:rsidR="00296541" w:rsidRDefault="00296541" w:rsidP="00296541">
      <w:pPr>
        <w:spacing w:line="360" w:lineRule="exact"/>
        <w:rPr>
          <w:rFonts w:ascii="Courier" w:hAnsi="Courier"/>
        </w:rPr>
      </w:pPr>
      <w:r>
        <w:rPr>
          <w:rFonts w:ascii="Courier" w:hAnsi="Courier"/>
        </w:rPr>
        <w:br w:type="page"/>
      </w:r>
    </w:p>
    <w:p w:rsidR="00296541" w:rsidRDefault="00296541" w:rsidP="00296541">
      <w:pPr>
        <w:spacing w:line="360" w:lineRule="exact"/>
        <w:rPr>
          <w:rFonts w:ascii="Times" w:hAnsi="Times"/>
        </w:rPr>
      </w:pPr>
      <w:r>
        <w:rPr>
          <w:rFonts w:ascii="Times" w:hAnsi="Times"/>
        </w:rPr>
        <w:lastRenderedPageBreak/>
        <w:t xml:space="preserve">1. Ansätze der subokzipitalen Muskeln </w:t>
      </w:r>
    </w:p>
    <w:p w:rsidR="00296541" w:rsidRDefault="00296541" w:rsidP="00296541">
      <w:pPr>
        <w:spacing w:line="360" w:lineRule="exact"/>
        <w:rPr>
          <w:rFonts w:ascii="Times" w:hAnsi="Times"/>
        </w:rPr>
      </w:pPr>
      <w:r>
        <w:rPr>
          <w:rFonts w:ascii="Times" w:hAnsi="Times"/>
        </w:rPr>
        <w:t xml:space="preserve">2. Querfortsätze der Halswirbelsäule C5 bis C7 </w:t>
      </w:r>
    </w:p>
    <w:p w:rsidR="00296541" w:rsidRDefault="00296541" w:rsidP="00296541">
      <w:pPr>
        <w:spacing w:line="360" w:lineRule="exact"/>
        <w:rPr>
          <w:rFonts w:ascii="Times" w:hAnsi="Times"/>
        </w:rPr>
      </w:pPr>
      <w:r>
        <w:rPr>
          <w:rFonts w:ascii="Times" w:hAnsi="Times"/>
        </w:rPr>
        <w:t xml:space="preserve">3. </w:t>
      </w:r>
      <w:proofErr w:type="spellStart"/>
      <w:r>
        <w:rPr>
          <w:rFonts w:ascii="Times" w:hAnsi="Times"/>
        </w:rPr>
        <w:t>Trapecius</w:t>
      </w:r>
      <w:proofErr w:type="spellEnd"/>
      <w:r>
        <w:rPr>
          <w:rFonts w:ascii="Times" w:hAnsi="Times"/>
        </w:rPr>
        <w:t xml:space="preserve"> (Mittelpunkt der Achse)</w:t>
      </w:r>
    </w:p>
    <w:p w:rsidR="00296541" w:rsidRDefault="00296541" w:rsidP="00296541">
      <w:pPr>
        <w:spacing w:line="360" w:lineRule="exact"/>
        <w:rPr>
          <w:rFonts w:ascii="Times" w:hAnsi="Times"/>
        </w:rPr>
      </w:pPr>
      <w:r>
        <w:rPr>
          <w:rFonts w:ascii="Times" w:hAnsi="Times"/>
        </w:rPr>
        <w:t xml:space="preserve">4. M. </w:t>
      </w:r>
      <w:proofErr w:type="spellStart"/>
      <w:r>
        <w:rPr>
          <w:rFonts w:ascii="Times" w:hAnsi="Times"/>
        </w:rPr>
        <w:t>supraspinatus</w:t>
      </w:r>
      <w:proofErr w:type="spellEnd"/>
    </w:p>
    <w:p w:rsidR="00296541" w:rsidRDefault="00296541" w:rsidP="00296541">
      <w:pPr>
        <w:spacing w:line="360" w:lineRule="exact"/>
        <w:rPr>
          <w:rFonts w:ascii="Times" w:hAnsi="Times"/>
        </w:rPr>
      </w:pPr>
      <w:r>
        <w:rPr>
          <w:rFonts w:ascii="Times" w:hAnsi="Times"/>
        </w:rPr>
        <w:t>5. Knochenknorpelgrenze der 2. Rippe</w:t>
      </w:r>
    </w:p>
    <w:p w:rsidR="00296541" w:rsidRDefault="00296541" w:rsidP="00296541">
      <w:pPr>
        <w:spacing w:line="360" w:lineRule="exact"/>
        <w:rPr>
          <w:rFonts w:ascii="Times" w:hAnsi="Times"/>
        </w:rPr>
      </w:pPr>
      <w:r>
        <w:rPr>
          <w:rFonts w:ascii="Times" w:hAnsi="Times"/>
        </w:rPr>
        <w:t xml:space="preserve">6. </w:t>
      </w:r>
      <w:proofErr w:type="spellStart"/>
      <w:r>
        <w:rPr>
          <w:rFonts w:ascii="Times" w:hAnsi="Times"/>
        </w:rPr>
        <w:t>Epicondylus</w:t>
      </w:r>
      <w:proofErr w:type="spellEnd"/>
      <w:r>
        <w:rPr>
          <w:rFonts w:ascii="Times" w:hAnsi="Times"/>
        </w:rPr>
        <w:t xml:space="preserve"> </w:t>
      </w:r>
      <w:proofErr w:type="spellStart"/>
      <w:r>
        <w:rPr>
          <w:rFonts w:ascii="Times" w:hAnsi="Times"/>
        </w:rPr>
        <w:t>radialis</w:t>
      </w:r>
      <w:proofErr w:type="spellEnd"/>
      <w:r>
        <w:rPr>
          <w:rFonts w:ascii="Times" w:hAnsi="Times"/>
        </w:rPr>
        <w:t xml:space="preserve"> (2 cm proximal) </w:t>
      </w:r>
    </w:p>
    <w:p w:rsidR="00296541" w:rsidRDefault="00296541" w:rsidP="00296541">
      <w:pPr>
        <w:spacing w:line="360" w:lineRule="exact"/>
        <w:rPr>
          <w:rFonts w:ascii="Times" w:hAnsi="Times"/>
        </w:rPr>
      </w:pPr>
      <w:r>
        <w:rPr>
          <w:rFonts w:ascii="Times" w:hAnsi="Times"/>
        </w:rPr>
        <w:t xml:space="preserve">7. </w:t>
      </w:r>
      <w:proofErr w:type="spellStart"/>
      <w:r>
        <w:rPr>
          <w:rFonts w:ascii="Times" w:hAnsi="Times"/>
        </w:rPr>
        <w:t>Regio</w:t>
      </w:r>
      <w:proofErr w:type="spellEnd"/>
      <w:r>
        <w:rPr>
          <w:rFonts w:ascii="Times" w:hAnsi="Times"/>
        </w:rPr>
        <w:t xml:space="preserve"> </w:t>
      </w:r>
      <w:proofErr w:type="spellStart"/>
      <w:r>
        <w:rPr>
          <w:rFonts w:ascii="Times" w:hAnsi="Times"/>
        </w:rPr>
        <w:t>glutaea</w:t>
      </w:r>
      <w:proofErr w:type="spellEnd"/>
      <w:r>
        <w:rPr>
          <w:rFonts w:ascii="Times" w:hAnsi="Times"/>
        </w:rPr>
        <w:t xml:space="preserve"> (oberer äußerer Quadrant)</w:t>
      </w:r>
    </w:p>
    <w:p w:rsidR="00296541" w:rsidRDefault="00296541" w:rsidP="00296541">
      <w:pPr>
        <w:spacing w:line="360" w:lineRule="exact"/>
        <w:rPr>
          <w:rFonts w:ascii="Times" w:hAnsi="Times"/>
        </w:rPr>
      </w:pPr>
      <w:r>
        <w:rPr>
          <w:rFonts w:ascii="Times" w:hAnsi="Times"/>
        </w:rPr>
        <w:t xml:space="preserve">8. Trochanter </w:t>
      </w:r>
      <w:proofErr w:type="spellStart"/>
      <w:r>
        <w:rPr>
          <w:rFonts w:ascii="Times" w:hAnsi="Times"/>
        </w:rPr>
        <w:t>major</w:t>
      </w:r>
      <w:proofErr w:type="spellEnd"/>
    </w:p>
    <w:p w:rsidR="00296541" w:rsidRDefault="00296541" w:rsidP="00296541">
      <w:pPr>
        <w:spacing w:line="360" w:lineRule="exact"/>
        <w:rPr>
          <w:rFonts w:ascii="Times" w:hAnsi="Times"/>
        </w:rPr>
      </w:pPr>
      <w:r>
        <w:rPr>
          <w:rFonts w:ascii="Times" w:hAnsi="Times"/>
        </w:rPr>
        <w:t>9. Fettpolster des Kniegelenks medial proximal der Gelenklinie</w:t>
      </w:r>
    </w:p>
    <w:p w:rsidR="00296541" w:rsidRDefault="00296541" w:rsidP="00296541">
      <w:pPr>
        <w:spacing w:line="360" w:lineRule="exact"/>
        <w:rPr>
          <w:rFonts w:ascii="Times" w:hAnsi="Times"/>
        </w:rPr>
      </w:pPr>
    </w:p>
    <w:p w:rsidR="00296541" w:rsidRDefault="00296541" w:rsidP="00296541">
      <w:pPr>
        <w:spacing w:line="360" w:lineRule="exact"/>
        <w:rPr>
          <w:rFonts w:ascii="Times" w:hAnsi="Times"/>
        </w:rPr>
      </w:pPr>
      <w:r>
        <w:rPr>
          <w:rFonts w:ascii="Times" w:hAnsi="Times"/>
        </w:rPr>
        <w:t>Tabelle 1: Tender Points bei der Fibromyalgie</w:t>
      </w:r>
    </w:p>
    <w:p w:rsidR="00296541" w:rsidRDefault="00296541" w:rsidP="00296541">
      <w:pPr>
        <w:spacing w:line="360" w:lineRule="exact"/>
        <w:rPr>
          <w:rFonts w:ascii="Times" w:hAnsi="Times"/>
        </w:rPr>
      </w:pPr>
    </w:p>
    <w:p w:rsidR="00296541" w:rsidRDefault="00296541" w:rsidP="00296541">
      <w:pPr>
        <w:pBdr>
          <w:right w:val="single" w:sz="6" w:space="1" w:color="auto"/>
        </w:pBdr>
      </w:pPr>
      <w:r>
        <w:br w:type="page"/>
      </w:r>
    </w:p>
    <w:p w:rsidR="00296541" w:rsidRDefault="00296541" w:rsidP="00296541">
      <w:pPr>
        <w:pBdr>
          <w:right w:val="single" w:sz="6" w:space="1" w:color="auto"/>
        </w:pBdr>
      </w:pPr>
      <w:r>
        <w:lastRenderedPageBreak/>
        <w:t>Patienten mit Fibromyalgie            Patienten mit anderen</w:t>
      </w:r>
    </w:p>
    <w:p w:rsidR="00296541" w:rsidRDefault="00296541" w:rsidP="00296541">
      <w:pPr>
        <w:pBdr>
          <w:right w:val="single" w:sz="6" w:space="1" w:color="auto"/>
        </w:pBdr>
      </w:pPr>
      <w:r>
        <w:t xml:space="preserve">                                                         Schmerzsyndromen</w:t>
      </w:r>
    </w:p>
    <w:tbl>
      <w:tblPr>
        <w:tblW w:w="0" w:type="auto"/>
        <w:tblLayout w:type="fixed"/>
        <w:tblCellMar>
          <w:left w:w="70" w:type="dxa"/>
          <w:right w:w="70" w:type="dxa"/>
        </w:tblCellMar>
        <w:tblLook w:val="00A5" w:firstRow="1" w:lastRow="0" w:firstColumn="1" w:lastColumn="0" w:noHBand="0" w:noVBand="0"/>
      </w:tblPr>
      <w:tblGrid>
        <w:gridCol w:w="536"/>
        <w:gridCol w:w="668"/>
        <w:gridCol w:w="993"/>
        <w:gridCol w:w="1185"/>
        <w:gridCol w:w="509"/>
        <w:gridCol w:w="715"/>
        <w:gridCol w:w="993"/>
        <w:gridCol w:w="839"/>
      </w:tblGrid>
      <w:tr w:rsidR="00296541" w:rsidTr="007F4FE0">
        <w:tblPrEx>
          <w:tblCellMar>
            <w:top w:w="0" w:type="dxa"/>
            <w:bottom w:w="0" w:type="dxa"/>
          </w:tblCellMar>
        </w:tblPrEx>
        <w:tc>
          <w:tcPr>
            <w:tcW w:w="536" w:type="dxa"/>
            <w:tcBorders>
              <w:top w:val="single" w:sz="12" w:space="0" w:color="808080"/>
              <w:bottom w:val="single" w:sz="6" w:space="0" w:color="808080"/>
            </w:tcBorders>
          </w:tcPr>
          <w:p w:rsidR="00296541" w:rsidRDefault="00296541" w:rsidP="007F4FE0">
            <w:pPr>
              <w:jc w:val="center"/>
            </w:pPr>
            <w:r>
              <w:t>Sex</w:t>
            </w:r>
          </w:p>
          <w:p w:rsidR="00296541" w:rsidRDefault="00296541" w:rsidP="007F4FE0">
            <w:pPr>
              <w:jc w:val="center"/>
            </w:pPr>
          </w:p>
        </w:tc>
        <w:tc>
          <w:tcPr>
            <w:tcW w:w="668" w:type="dxa"/>
            <w:tcBorders>
              <w:top w:val="single" w:sz="12" w:space="0" w:color="808080"/>
              <w:bottom w:val="single" w:sz="6" w:space="0" w:color="808080"/>
            </w:tcBorders>
          </w:tcPr>
          <w:p w:rsidR="00296541" w:rsidRDefault="00296541" w:rsidP="007F4FE0">
            <w:pPr>
              <w:jc w:val="center"/>
            </w:pPr>
            <w:r>
              <w:t>Alter</w:t>
            </w:r>
          </w:p>
        </w:tc>
        <w:tc>
          <w:tcPr>
            <w:tcW w:w="993" w:type="dxa"/>
            <w:tcBorders>
              <w:top w:val="single" w:sz="12" w:space="0" w:color="808080"/>
              <w:bottom w:val="single" w:sz="6" w:space="0" w:color="808080"/>
            </w:tcBorders>
          </w:tcPr>
          <w:p w:rsidR="00296541" w:rsidRDefault="00296541" w:rsidP="007F4FE0">
            <w:pPr>
              <w:jc w:val="center"/>
            </w:pPr>
            <w:r>
              <w:t>WURS</w:t>
            </w:r>
          </w:p>
        </w:tc>
        <w:tc>
          <w:tcPr>
            <w:tcW w:w="1185" w:type="dxa"/>
            <w:tcBorders>
              <w:top w:val="single" w:sz="12" w:space="0" w:color="808080"/>
              <w:bottom w:val="single" w:sz="6" w:space="0" w:color="808080"/>
            </w:tcBorders>
          </w:tcPr>
          <w:p w:rsidR="00296541" w:rsidRDefault="00296541" w:rsidP="007F4FE0">
            <w:pPr>
              <w:jc w:val="center"/>
            </w:pPr>
            <w:r>
              <w:t xml:space="preserve">ADD </w:t>
            </w:r>
            <w:proofErr w:type="spellStart"/>
            <w:r>
              <w:t>Scales</w:t>
            </w:r>
            <w:proofErr w:type="spellEnd"/>
          </w:p>
        </w:tc>
        <w:tc>
          <w:tcPr>
            <w:tcW w:w="509" w:type="dxa"/>
            <w:tcBorders>
              <w:top w:val="single" w:sz="12" w:space="0" w:color="808080"/>
              <w:bottom w:val="single" w:sz="6" w:space="0" w:color="808080"/>
            </w:tcBorders>
          </w:tcPr>
          <w:p w:rsidR="00296541" w:rsidRDefault="00296541" w:rsidP="007F4FE0">
            <w:pPr>
              <w:jc w:val="center"/>
            </w:pPr>
            <w:r>
              <w:t>Sex</w:t>
            </w:r>
          </w:p>
        </w:tc>
        <w:tc>
          <w:tcPr>
            <w:tcW w:w="715" w:type="dxa"/>
            <w:tcBorders>
              <w:top w:val="single" w:sz="12" w:space="0" w:color="808080"/>
              <w:bottom w:val="single" w:sz="6" w:space="0" w:color="808080"/>
            </w:tcBorders>
          </w:tcPr>
          <w:p w:rsidR="00296541" w:rsidRDefault="00296541" w:rsidP="007F4FE0">
            <w:pPr>
              <w:jc w:val="center"/>
            </w:pPr>
            <w:r>
              <w:t>Alter</w:t>
            </w:r>
          </w:p>
        </w:tc>
        <w:tc>
          <w:tcPr>
            <w:tcW w:w="993" w:type="dxa"/>
            <w:tcBorders>
              <w:top w:val="single" w:sz="12" w:space="0" w:color="808080"/>
              <w:bottom w:val="single" w:sz="6" w:space="0" w:color="808080"/>
            </w:tcBorders>
          </w:tcPr>
          <w:p w:rsidR="00296541" w:rsidRDefault="00296541" w:rsidP="007F4FE0">
            <w:pPr>
              <w:jc w:val="center"/>
            </w:pPr>
            <w:r>
              <w:t>WURS</w:t>
            </w:r>
          </w:p>
        </w:tc>
        <w:tc>
          <w:tcPr>
            <w:tcW w:w="839" w:type="dxa"/>
            <w:tcBorders>
              <w:top w:val="single" w:sz="12" w:space="0" w:color="808080"/>
              <w:bottom w:val="single" w:sz="6" w:space="0" w:color="808080"/>
            </w:tcBorders>
          </w:tcPr>
          <w:p w:rsidR="00296541" w:rsidRDefault="00296541" w:rsidP="007F4FE0">
            <w:pPr>
              <w:jc w:val="center"/>
            </w:pPr>
            <w:r>
              <w:t xml:space="preserve">ADD </w:t>
            </w:r>
            <w:proofErr w:type="spellStart"/>
            <w:r>
              <w:t>Scales</w:t>
            </w:r>
            <w:proofErr w:type="spellEnd"/>
          </w:p>
        </w:tc>
      </w:tr>
      <w:tr w:rsidR="00296541" w:rsidTr="007F4FE0">
        <w:tblPrEx>
          <w:tblCellMar>
            <w:top w:w="0" w:type="dxa"/>
            <w:bottom w:w="0" w:type="dxa"/>
          </w:tblCellMar>
        </w:tblPrEx>
        <w:tc>
          <w:tcPr>
            <w:tcW w:w="536" w:type="dxa"/>
          </w:tcPr>
          <w:p w:rsidR="00296541" w:rsidRDefault="00296541" w:rsidP="007F4FE0">
            <w:pPr>
              <w:jc w:val="center"/>
            </w:pPr>
            <w:r>
              <w:t>f</w:t>
            </w:r>
          </w:p>
        </w:tc>
        <w:tc>
          <w:tcPr>
            <w:tcW w:w="668" w:type="dxa"/>
          </w:tcPr>
          <w:p w:rsidR="00296541" w:rsidRDefault="00296541" w:rsidP="007F4FE0">
            <w:pPr>
              <w:jc w:val="center"/>
            </w:pPr>
            <w:r>
              <w:t>34</w:t>
            </w:r>
          </w:p>
        </w:tc>
        <w:tc>
          <w:tcPr>
            <w:tcW w:w="993" w:type="dxa"/>
          </w:tcPr>
          <w:p w:rsidR="00296541" w:rsidRDefault="00296541" w:rsidP="007F4FE0">
            <w:pPr>
              <w:jc w:val="center"/>
            </w:pPr>
            <w:r>
              <w:t>58</w:t>
            </w:r>
          </w:p>
        </w:tc>
        <w:tc>
          <w:tcPr>
            <w:tcW w:w="1185" w:type="dxa"/>
          </w:tcPr>
          <w:p w:rsidR="00296541" w:rsidRDefault="00296541" w:rsidP="007F4FE0">
            <w:pPr>
              <w:jc w:val="center"/>
            </w:pPr>
            <w:r>
              <w:t>74</w:t>
            </w:r>
          </w:p>
        </w:tc>
        <w:tc>
          <w:tcPr>
            <w:tcW w:w="509" w:type="dxa"/>
          </w:tcPr>
          <w:p w:rsidR="00296541" w:rsidRDefault="00296541" w:rsidP="007F4FE0">
            <w:pPr>
              <w:jc w:val="center"/>
            </w:pPr>
            <w:r>
              <w:t>f</w:t>
            </w:r>
          </w:p>
        </w:tc>
        <w:tc>
          <w:tcPr>
            <w:tcW w:w="715" w:type="dxa"/>
          </w:tcPr>
          <w:p w:rsidR="00296541" w:rsidRDefault="00296541" w:rsidP="007F4FE0">
            <w:pPr>
              <w:jc w:val="center"/>
            </w:pPr>
            <w:r>
              <w:t>29</w:t>
            </w:r>
          </w:p>
        </w:tc>
        <w:tc>
          <w:tcPr>
            <w:tcW w:w="993" w:type="dxa"/>
          </w:tcPr>
          <w:p w:rsidR="00296541" w:rsidRDefault="00296541" w:rsidP="007F4FE0">
            <w:pPr>
              <w:jc w:val="center"/>
            </w:pPr>
            <w:r>
              <w:t>70</w:t>
            </w:r>
          </w:p>
        </w:tc>
        <w:tc>
          <w:tcPr>
            <w:tcW w:w="839" w:type="dxa"/>
          </w:tcPr>
          <w:p w:rsidR="00296541" w:rsidRDefault="00296541" w:rsidP="007F4FE0">
            <w:pPr>
              <w:jc w:val="center"/>
            </w:pPr>
            <w:r>
              <w:t>53</w:t>
            </w:r>
          </w:p>
        </w:tc>
      </w:tr>
      <w:tr w:rsidR="00296541" w:rsidTr="007F4FE0">
        <w:tblPrEx>
          <w:tblCellMar>
            <w:top w:w="0" w:type="dxa"/>
            <w:bottom w:w="0" w:type="dxa"/>
          </w:tblCellMar>
        </w:tblPrEx>
        <w:tc>
          <w:tcPr>
            <w:tcW w:w="536" w:type="dxa"/>
          </w:tcPr>
          <w:p w:rsidR="00296541" w:rsidRDefault="00296541" w:rsidP="007F4FE0">
            <w:pPr>
              <w:jc w:val="center"/>
            </w:pPr>
            <w:r>
              <w:t>f</w:t>
            </w:r>
          </w:p>
        </w:tc>
        <w:tc>
          <w:tcPr>
            <w:tcW w:w="668" w:type="dxa"/>
          </w:tcPr>
          <w:p w:rsidR="00296541" w:rsidRDefault="00296541" w:rsidP="007F4FE0">
            <w:pPr>
              <w:jc w:val="center"/>
            </w:pPr>
            <w:r>
              <w:t>54</w:t>
            </w:r>
          </w:p>
        </w:tc>
        <w:tc>
          <w:tcPr>
            <w:tcW w:w="993" w:type="dxa"/>
          </w:tcPr>
          <w:p w:rsidR="00296541" w:rsidRDefault="00296541" w:rsidP="007F4FE0">
            <w:pPr>
              <w:jc w:val="center"/>
            </w:pPr>
            <w:r>
              <w:t>26</w:t>
            </w:r>
          </w:p>
        </w:tc>
        <w:tc>
          <w:tcPr>
            <w:tcW w:w="1185" w:type="dxa"/>
          </w:tcPr>
          <w:p w:rsidR="00296541" w:rsidRDefault="00296541" w:rsidP="007F4FE0">
            <w:pPr>
              <w:jc w:val="center"/>
            </w:pPr>
            <w:r>
              <w:t>44</w:t>
            </w:r>
          </w:p>
        </w:tc>
        <w:tc>
          <w:tcPr>
            <w:tcW w:w="509" w:type="dxa"/>
          </w:tcPr>
          <w:p w:rsidR="00296541" w:rsidRDefault="00296541" w:rsidP="007F4FE0">
            <w:pPr>
              <w:jc w:val="center"/>
            </w:pPr>
            <w:r>
              <w:t>f</w:t>
            </w:r>
          </w:p>
        </w:tc>
        <w:tc>
          <w:tcPr>
            <w:tcW w:w="715" w:type="dxa"/>
          </w:tcPr>
          <w:p w:rsidR="00296541" w:rsidRDefault="00296541" w:rsidP="007F4FE0">
            <w:pPr>
              <w:jc w:val="center"/>
            </w:pPr>
            <w:r>
              <w:t>54</w:t>
            </w:r>
          </w:p>
        </w:tc>
        <w:tc>
          <w:tcPr>
            <w:tcW w:w="993" w:type="dxa"/>
          </w:tcPr>
          <w:p w:rsidR="00296541" w:rsidRDefault="00296541" w:rsidP="007F4FE0">
            <w:pPr>
              <w:jc w:val="center"/>
            </w:pPr>
            <w:r>
              <w:t>15</w:t>
            </w:r>
          </w:p>
        </w:tc>
        <w:tc>
          <w:tcPr>
            <w:tcW w:w="839" w:type="dxa"/>
          </w:tcPr>
          <w:p w:rsidR="00296541" w:rsidRDefault="00296541" w:rsidP="007F4FE0">
            <w:pPr>
              <w:jc w:val="center"/>
            </w:pPr>
            <w:r>
              <w:t>53</w:t>
            </w:r>
          </w:p>
        </w:tc>
      </w:tr>
      <w:tr w:rsidR="00296541" w:rsidTr="007F4FE0">
        <w:tblPrEx>
          <w:tblCellMar>
            <w:top w:w="0" w:type="dxa"/>
            <w:bottom w:w="0" w:type="dxa"/>
          </w:tblCellMar>
        </w:tblPrEx>
        <w:tc>
          <w:tcPr>
            <w:tcW w:w="536" w:type="dxa"/>
          </w:tcPr>
          <w:p w:rsidR="00296541" w:rsidRDefault="00296541" w:rsidP="007F4FE0">
            <w:pPr>
              <w:jc w:val="center"/>
            </w:pPr>
            <w:r>
              <w:t>f</w:t>
            </w:r>
          </w:p>
        </w:tc>
        <w:tc>
          <w:tcPr>
            <w:tcW w:w="668" w:type="dxa"/>
          </w:tcPr>
          <w:p w:rsidR="00296541" w:rsidRDefault="00296541" w:rsidP="007F4FE0">
            <w:pPr>
              <w:jc w:val="center"/>
            </w:pPr>
            <w:r>
              <w:t>49</w:t>
            </w:r>
          </w:p>
        </w:tc>
        <w:tc>
          <w:tcPr>
            <w:tcW w:w="993" w:type="dxa"/>
          </w:tcPr>
          <w:p w:rsidR="00296541" w:rsidRDefault="00296541" w:rsidP="007F4FE0">
            <w:pPr>
              <w:jc w:val="center"/>
            </w:pPr>
            <w:r>
              <w:t>52</w:t>
            </w:r>
          </w:p>
        </w:tc>
        <w:tc>
          <w:tcPr>
            <w:tcW w:w="1185" w:type="dxa"/>
          </w:tcPr>
          <w:p w:rsidR="00296541" w:rsidRDefault="00296541" w:rsidP="007F4FE0">
            <w:pPr>
              <w:jc w:val="center"/>
            </w:pPr>
            <w:r>
              <w:t>46</w:t>
            </w:r>
          </w:p>
        </w:tc>
        <w:tc>
          <w:tcPr>
            <w:tcW w:w="509" w:type="dxa"/>
          </w:tcPr>
          <w:p w:rsidR="00296541" w:rsidRDefault="00296541" w:rsidP="007F4FE0">
            <w:pPr>
              <w:jc w:val="center"/>
            </w:pPr>
            <w:r>
              <w:t>f</w:t>
            </w:r>
          </w:p>
        </w:tc>
        <w:tc>
          <w:tcPr>
            <w:tcW w:w="715" w:type="dxa"/>
          </w:tcPr>
          <w:p w:rsidR="00296541" w:rsidRDefault="00296541" w:rsidP="007F4FE0">
            <w:pPr>
              <w:jc w:val="center"/>
            </w:pPr>
            <w:r>
              <w:t>44</w:t>
            </w:r>
          </w:p>
        </w:tc>
        <w:tc>
          <w:tcPr>
            <w:tcW w:w="993" w:type="dxa"/>
          </w:tcPr>
          <w:p w:rsidR="00296541" w:rsidRDefault="00296541" w:rsidP="007F4FE0">
            <w:pPr>
              <w:jc w:val="center"/>
            </w:pPr>
            <w:r>
              <w:t>35</w:t>
            </w:r>
          </w:p>
        </w:tc>
        <w:tc>
          <w:tcPr>
            <w:tcW w:w="839" w:type="dxa"/>
          </w:tcPr>
          <w:p w:rsidR="00296541" w:rsidRDefault="00296541" w:rsidP="007F4FE0">
            <w:pPr>
              <w:jc w:val="center"/>
            </w:pPr>
            <w:r>
              <w:t>54</w:t>
            </w:r>
          </w:p>
        </w:tc>
      </w:tr>
      <w:tr w:rsidR="00296541" w:rsidTr="007F4FE0">
        <w:tblPrEx>
          <w:tblCellMar>
            <w:top w:w="0" w:type="dxa"/>
            <w:bottom w:w="0" w:type="dxa"/>
          </w:tblCellMar>
        </w:tblPrEx>
        <w:tc>
          <w:tcPr>
            <w:tcW w:w="536" w:type="dxa"/>
          </w:tcPr>
          <w:p w:rsidR="00296541" w:rsidRDefault="00296541" w:rsidP="007F4FE0">
            <w:pPr>
              <w:jc w:val="center"/>
            </w:pPr>
            <w:r>
              <w:t>f</w:t>
            </w:r>
          </w:p>
        </w:tc>
        <w:tc>
          <w:tcPr>
            <w:tcW w:w="668" w:type="dxa"/>
          </w:tcPr>
          <w:p w:rsidR="00296541" w:rsidRDefault="00296541" w:rsidP="007F4FE0">
            <w:pPr>
              <w:jc w:val="center"/>
            </w:pPr>
            <w:r>
              <w:t>58</w:t>
            </w:r>
          </w:p>
        </w:tc>
        <w:tc>
          <w:tcPr>
            <w:tcW w:w="993" w:type="dxa"/>
          </w:tcPr>
          <w:p w:rsidR="00296541" w:rsidRDefault="00296541" w:rsidP="007F4FE0">
            <w:pPr>
              <w:jc w:val="center"/>
            </w:pPr>
            <w:r>
              <w:t>6</w:t>
            </w:r>
          </w:p>
        </w:tc>
        <w:tc>
          <w:tcPr>
            <w:tcW w:w="1185" w:type="dxa"/>
          </w:tcPr>
          <w:p w:rsidR="00296541" w:rsidRDefault="00296541" w:rsidP="007F4FE0">
            <w:pPr>
              <w:jc w:val="center"/>
            </w:pPr>
            <w:r>
              <w:t>6</w:t>
            </w:r>
          </w:p>
        </w:tc>
        <w:tc>
          <w:tcPr>
            <w:tcW w:w="509" w:type="dxa"/>
          </w:tcPr>
          <w:p w:rsidR="00296541" w:rsidRDefault="00296541" w:rsidP="007F4FE0">
            <w:pPr>
              <w:jc w:val="center"/>
            </w:pPr>
            <w:r>
              <w:t>f</w:t>
            </w:r>
          </w:p>
        </w:tc>
        <w:tc>
          <w:tcPr>
            <w:tcW w:w="715" w:type="dxa"/>
          </w:tcPr>
          <w:p w:rsidR="00296541" w:rsidRDefault="00296541" w:rsidP="007F4FE0">
            <w:pPr>
              <w:jc w:val="center"/>
            </w:pPr>
            <w:r>
              <w:t>61</w:t>
            </w:r>
          </w:p>
        </w:tc>
        <w:tc>
          <w:tcPr>
            <w:tcW w:w="993" w:type="dxa"/>
          </w:tcPr>
          <w:p w:rsidR="00296541" w:rsidRDefault="00296541" w:rsidP="007F4FE0">
            <w:pPr>
              <w:jc w:val="center"/>
            </w:pPr>
            <w:r>
              <w:t>5</w:t>
            </w:r>
          </w:p>
        </w:tc>
        <w:tc>
          <w:tcPr>
            <w:tcW w:w="839" w:type="dxa"/>
          </w:tcPr>
          <w:p w:rsidR="00296541" w:rsidRDefault="00296541" w:rsidP="007F4FE0">
            <w:pPr>
              <w:jc w:val="center"/>
            </w:pPr>
            <w:r>
              <w:t>9</w:t>
            </w:r>
          </w:p>
        </w:tc>
      </w:tr>
      <w:tr w:rsidR="00296541" w:rsidTr="007F4FE0">
        <w:tblPrEx>
          <w:tblCellMar>
            <w:top w:w="0" w:type="dxa"/>
            <w:bottom w:w="0" w:type="dxa"/>
          </w:tblCellMar>
        </w:tblPrEx>
        <w:tc>
          <w:tcPr>
            <w:tcW w:w="536" w:type="dxa"/>
          </w:tcPr>
          <w:p w:rsidR="00296541" w:rsidRDefault="00296541" w:rsidP="007F4FE0">
            <w:pPr>
              <w:jc w:val="center"/>
            </w:pPr>
            <w:r>
              <w:t>f</w:t>
            </w:r>
          </w:p>
        </w:tc>
        <w:tc>
          <w:tcPr>
            <w:tcW w:w="668" w:type="dxa"/>
          </w:tcPr>
          <w:p w:rsidR="00296541" w:rsidRDefault="00296541" w:rsidP="007F4FE0">
            <w:pPr>
              <w:jc w:val="center"/>
            </w:pPr>
            <w:r>
              <w:t>42</w:t>
            </w:r>
          </w:p>
        </w:tc>
        <w:tc>
          <w:tcPr>
            <w:tcW w:w="993" w:type="dxa"/>
          </w:tcPr>
          <w:p w:rsidR="00296541" w:rsidRDefault="00296541" w:rsidP="007F4FE0">
            <w:pPr>
              <w:jc w:val="center"/>
            </w:pPr>
            <w:r>
              <w:t>68</w:t>
            </w:r>
          </w:p>
        </w:tc>
        <w:tc>
          <w:tcPr>
            <w:tcW w:w="1185" w:type="dxa"/>
          </w:tcPr>
          <w:p w:rsidR="00296541" w:rsidRDefault="00296541" w:rsidP="007F4FE0">
            <w:pPr>
              <w:jc w:val="center"/>
            </w:pPr>
            <w:r>
              <w:t>19</w:t>
            </w:r>
          </w:p>
        </w:tc>
        <w:tc>
          <w:tcPr>
            <w:tcW w:w="509" w:type="dxa"/>
          </w:tcPr>
          <w:p w:rsidR="00296541" w:rsidRDefault="00296541" w:rsidP="007F4FE0">
            <w:pPr>
              <w:jc w:val="center"/>
            </w:pPr>
            <w:r>
              <w:t>f</w:t>
            </w:r>
          </w:p>
        </w:tc>
        <w:tc>
          <w:tcPr>
            <w:tcW w:w="715" w:type="dxa"/>
          </w:tcPr>
          <w:p w:rsidR="00296541" w:rsidRDefault="00296541" w:rsidP="007F4FE0">
            <w:pPr>
              <w:jc w:val="center"/>
            </w:pPr>
            <w:r>
              <w:t>46</w:t>
            </w:r>
          </w:p>
        </w:tc>
        <w:tc>
          <w:tcPr>
            <w:tcW w:w="993" w:type="dxa"/>
          </w:tcPr>
          <w:p w:rsidR="00296541" w:rsidRDefault="00296541" w:rsidP="007F4FE0">
            <w:pPr>
              <w:jc w:val="center"/>
            </w:pPr>
            <w:r>
              <w:t>29</w:t>
            </w:r>
          </w:p>
        </w:tc>
        <w:tc>
          <w:tcPr>
            <w:tcW w:w="839" w:type="dxa"/>
          </w:tcPr>
          <w:p w:rsidR="00296541" w:rsidRDefault="00296541" w:rsidP="007F4FE0">
            <w:pPr>
              <w:jc w:val="center"/>
            </w:pPr>
            <w:r>
              <w:t>12</w:t>
            </w:r>
          </w:p>
        </w:tc>
      </w:tr>
      <w:tr w:rsidR="00296541" w:rsidTr="007F4FE0">
        <w:tblPrEx>
          <w:tblCellMar>
            <w:top w:w="0" w:type="dxa"/>
            <w:bottom w:w="0" w:type="dxa"/>
          </w:tblCellMar>
        </w:tblPrEx>
        <w:tc>
          <w:tcPr>
            <w:tcW w:w="536" w:type="dxa"/>
          </w:tcPr>
          <w:p w:rsidR="00296541" w:rsidRDefault="00296541" w:rsidP="007F4FE0">
            <w:pPr>
              <w:jc w:val="center"/>
            </w:pPr>
            <w:r>
              <w:t>f</w:t>
            </w:r>
          </w:p>
        </w:tc>
        <w:tc>
          <w:tcPr>
            <w:tcW w:w="668" w:type="dxa"/>
          </w:tcPr>
          <w:p w:rsidR="00296541" w:rsidRDefault="00296541" w:rsidP="007F4FE0">
            <w:pPr>
              <w:jc w:val="center"/>
            </w:pPr>
            <w:r>
              <w:t>54</w:t>
            </w:r>
          </w:p>
        </w:tc>
        <w:tc>
          <w:tcPr>
            <w:tcW w:w="993" w:type="dxa"/>
          </w:tcPr>
          <w:p w:rsidR="00296541" w:rsidRDefault="00296541" w:rsidP="007F4FE0">
            <w:pPr>
              <w:jc w:val="center"/>
            </w:pPr>
            <w:r>
              <w:t>55</w:t>
            </w:r>
          </w:p>
        </w:tc>
        <w:tc>
          <w:tcPr>
            <w:tcW w:w="1185" w:type="dxa"/>
          </w:tcPr>
          <w:p w:rsidR="00296541" w:rsidRDefault="00296541" w:rsidP="007F4FE0">
            <w:pPr>
              <w:jc w:val="center"/>
            </w:pPr>
            <w:r>
              <w:t>101</w:t>
            </w:r>
          </w:p>
        </w:tc>
        <w:tc>
          <w:tcPr>
            <w:tcW w:w="509" w:type="dxa"/>
          </w:tcPr>
          <w:p w:rsidR="00296541" w:rsidRDefault="00296541" w:rsidP="007F4FE0">
            <w:pPr>
              <w:jc w:val="center"/>
            </w:pPr>
            <w:r>
              <w:t>f</w:t>
            </w:r>
          </w:p>
        </w:tc>
        <w:tc>
          <w:tcPr>
            <w:tcW w:w="715" w:type="dxa"/>
          </w:tcPr>
          <w:p w:rsidR="00296541" w:rsidRDefault="00296541" w:rsidP="007F4FE0">
            <w:pPr>
              <w:jc w:val="center"/>
            </w:pPr>
            <w:r>
              <w:t>57</w:t>
            </w:r>
          </w:p>
        </w:tc>
        <w:tc>
          <w:tcPr>
            <w:tcW w:w="993" w:type="dxa"/>
          </w:tcPr>
          <w:p w:rsidR="00296541" w:rsidRDefault="00296541" w:rsidP="007F4FE0">
            <w:pPr>
              <w:jc w:val="center"/>
            </w:pPr>
            <w:r>
              <w:t>42</w:t>
            </w:r>
          </w:p>
        </w:tc>
        <w:tc>
          <w:tcPr>
            <w:tcW w:w="839" w:type="dxa"/>
          </w:tcPr>
          <w:p w:rsidR="00296541" w:rsidRDefault="00296541" w:rsidP="007F4FE0">
            <w:pPr>
              <w:jc w:val="center"/>
            </w:pPr>
            <w:r>
              <w:t>38</w:t>
            </w:r>
          </w:p>
        </w:tc>
      </w:tr>
      <w:tr w:rsidR="00296541" w:rsidTr="007F4FE0">
        <w:tblPrEx>
          <w:tblCellMar>
            <w:top w:w="0" w:type="dxa"/>
            <w:bottom w:w="0" w:type="dxa"/>
          </w:tblCellMar>
        </w:tblPrEx>
        <w:tc>
          <w:tcPr>
            <w:tcW w:w="536" w:type="dxa"/>
          </w:tcPr>
          <w:p w:rsidR="00296541" w:rsidRDefault="00296541" w:rsidP="007F4FE0">
            <w:pPr>
              <w:jc w:val="center"/>
            </w:pPr>
            <w:r>
              <w:t>f</w:t>
            </w:r>
          </w:p>
        </w:tc>
        <w:tc>
          <w:tcPr>
            <w:tcW w:w="668" w:type="dxa"/>
          </w:tcPr>
          <w:p w:rsidR="00296541" w:rsidRDefault="00296541" w:rsidP="007F4FE0">
            <w:pPr>
              <w:jc w:val="center"/>
            </w:pPr>
            <w:r>
              <w:t>27</w:t>
            </w:r>
          </w:p>
        </w:tc>
        <w:tc>
          <w:tcPr>
            <w:tcW w:w="993" w:type="dxa"/>
          </w:tcPr>
          <w:p w:rsidR="00296541" w:rsidRDefault="00296541" w:rsidP="007F4FE0">
            <w:pPr>
              <w:jc w:val="center"/>
            </w:pPr>
            <w:r>
              <w:t>27</w:t>
            </w:r>
          </w:p>
        </w:tc>
        <w:tc>
          <w:tcPr>
            <w:tcW w:w="1185" w:type="dxa"/>
          </w:tcPr>
          <w:p w:rsidR="00296541" w:rsidRDefault="00296541" w:rsidP="007F4FE0">
            <w:pPr>
              <w:jc w:val="center"/>
            </w:pPr>
            <w:r>
              <w:t>44</w:t>
            </w:r>
          </w:p>
        </w:tc>
        <w:tc>
          <w:tcPr>
            <w:tcW w:w="509" w:type="dxa"/>
          </w:tcPr>
          <w:p w:rsidR="00296541" w:rsidRDefault="00296541" w:rsidP="007F4FE0">
            <w:pPr>
              <w:jc w:val="center"/>
            </w:pPr>
            <w:r>
              <w:t>f</w:t>
            </w:r>
          </w:p>
        </w:tc>
        <w:tc>
          <w:tcPr>
            <w:tcW w:w="715" w:type="dxa"/>
          </w:tcPr>
          <w:p w:rsidR="00296541" w:rsidRDefault="00296541" w:rsidP="007F4FE0">
            <w:pPr>
              <w:jc w:val="center"/>
            </w:pPr>
            <w:r>
              <w:t>27</w:t>
            </w:r>
          </w:p>
        </w:tc>
        <w:tc>
          <w:tcPr>
            <w:tcW w:w="993" w:type="dxa"/>
          </w:tcPr>
          <w:p w:rsidR="00296541" w:rsidRDefault="00296541" w:rsidP="007F4FE0">
            <w:pPr>
              <w:jc w:val="center"/>
            </w:pPr>
            <w:r>
              <w:t>29</w:t>
            </w:r>
          </w:p>
        </w:tc>
        <w:tc>
          <w:tcPr>
            <w:tcW w:w="839" w:type="dxa"/>
          </w:tcPr>
          <w:p w:rsidR="00296541" w:rsidRDefault="00296541" w:rsidP="007F4FE0">
            <w:pPr>
              <w:jc w:val="center"/>
            </w:pPr>
            <w:r>
              <w:t>32</w:t>
            </w:r>
          </w:p>
        </w:tc>
      </w:tr>
      <w:tr w:rsidR="00296541" w:rsidTr="007F4FE0">
        <w:tblPrEx>
          <w:tblCellMar>
            <w:top w:w="0" w:type="dxa"/>
            <w:bottom w:w="0" w:type="dxa"/>
          </w:tblCellMar>
        </w:tblPrEx>
        <w:tc>
          <w:tcPr>
            <w:tcW w:w="536" w:type="dxa"/>
          </w:tcPr>
          <w:p w:rsidR="00296541" w:rsidRDefault="00296541" w:rsidP="007F4FE0">
            <w:pPr>
              <w:jc w:val="center"/>
            </w:pPr>
            <w:r>
              <w:t>f</w:t>
            </w:r>
          </w:p>
        </w:tc>
        <w:tc>
          <w:tcPr>
            <w:tcW w:w="668" w:type="dxa"/>
          </w:tcPr>
          <w:p w:rsidR="00296541" w:rsidRDefault="00296541" w:rsidP="007F4FE0">
            <w:pPr>
              <w:jc w:val="center"/>
            </w:pPr>
            <w:r>
              <w:t>51</w:t>
            </w:r>
          </w:p>
        </w:tc>
        <w:tc>
          <w:tcPr>
            <w:tcW w:w="993" w:type="dxa"/>
          </w:tcPr>
          <w:p w:rsidR="00296541" w:rsidRDefault="00296541" w:rsidP="007F4FE0">
            <w:pPr>
              <w:jc w:val="center"/>
            </w:pPr>
            <w:r>
              <w:t>60</w:t>
            </w:r>
          </w:p>
        </w:tc>
        <w:tc>
          <w:tcPr>
            <w:tcW w:w="1185" w:type="dxa"/>
          </w:tcPr>
          <w:p w:rsidR="00296541" w:rsidRDefault="00296541" w:rsidP="007F4FE0">
            <w:pPr>
              <w:jc w:val="center"/>
            </w:pPr>
            <w:r>
              <w:t>87</w:t>
            </w:r>
          </w:p>
        </w:tc>
        <w:tc>
          <w:tcPr>
            <w:tcW w:w="509" w:type="dxa"/>
          </w:tcPr>
          <w:p w:rsidR="00296541" w:rsidRDefault="00296541" w:rsidP="007F4FE0">
            <w:pPr>
              <w:jc w:val="center"/>
            </w:pPr>
            <w:r>
              <w:t>f</w:t>
            </w:r>
          </w:p>
        </w:tc>
        <w:tc>
          <w:tcPr>
            <w:tcW w:w="715" w:type="dxa"/>
          </w:tcPr>
          <w:p w:rsidR="00296541" w:rsidRDefault="00296541" w:rsidP="007F4FE0">
            <w:pPr>
              <w:jc w:val="center"/>
            </w:pPr>
            <w:r>
              <w:t>52</w:t>
            </w:r>
          </w:p>
        </w:tc>
        <w:tc>
          <w:tcPr>
            <w:tcW w:w="993" w:type="dxa"/>
          </w:tcPr>
          <w:p w:rsidR="00296541" w:rsidRDefault="00296541" w:rsidP="007F4FE0">
            <w:pPr>
              <w:jc w:val="center"/>
            </w:pPr>
            <w:r>
              <w:t>9</w:t>
            </w:r>
          </w:p>
        </w:tc>
        <w:tc>
          <w:tcPr>
            <w:tcW w:w="839" w:type="dxa"/>
          </w:tcPr>
          <w:p w:rsidR="00296541" w:rsidRDefault="00296541" w:rsidP="007F4FE0">
            <w:pPr>
              <w:jc w:val="center"/>
            </w:pPr>
            <w:r>
              <w:t>25</w:t>
            </w:r>
          </w:p>
        </w:tc>
      </w:tr>
      <w:tr w:rsidR="00296541" w:rsidTr="007F4FE0">
        <w:tblPrEx>
          <w:tblCellMar>
            <w:top w:w="0" w:type="dxa"/>
            <w:bottom w:w="0" w:type="dxa"/>
          </w:tblCellMar>
        </w:tblPrEx>
        <w:tc>
          <w:tcPr>
            <w:tcW w:w="536" w:type="dxa"/>
          </w:tcPr>
          <w:p w:rsidR="00296541" w:rsidRDefault="00296541" w:rsidP="007F4FE0">
            <w:pPr>
              <w:jc w:val="center"/>
            </w:pPr>
            <w:r>
              <w:t>f</w:t>
            </w:r>
          </w:p>
        </w:tc>
        <w:tc>
          <w:tcPr>
            <w:tcW w:w="668" w:type="dxa"/>
          </w:tcPr>
          <w:p w:rsidR="00296541" w:rsidRDefault="00296541" w:rsidP="007F4FE0">
            <w:pPr>
              <w:jc w:val="center"/>
            </w:pPr>
            <w:r>
              <w:t>52</w:t>
            </w:r>
          </w:p>
        </w:tc>
        <w:tc>
          <w:tcPr>
            <w:tcW w:w="993" w:type="dxa"/>
          </w:tcPr>
          <w:p w:rsidR="00296541" w:rsidRDefault="00296541" w:rsidP="007F4FE0">
            <w:pPr>
              <w:jc w:val="center"/>
            </w:pPr>
            <w:r>
              <w:t>12</w:t>
            </w:r>
          </w:p>
        </w:tc>
        <w:tc>
          <w:tcPr>
            <w:tcW w:w="1185" w:type="dxa"/>
          </w:tcPr>
          <w:p w:rsidR="00296541" w:rsidRDefault="00296541" w:rsidP="007F4FE0">
            <w:pPr>
              <w:jc w:val="center"/>
            </w:pPr>
            <w:r>
              <w:t>76</w:t>
            </w:r>
          </w:p>
        </w:tc>
        <w:tc>
          <w:tcPr>
            <w:tcW w:w="509" w:type="dxa"/>
          </w:tcPr>
          <w:p w:rsidR="00296541" w:rsidRDefault="00296541" w:rsidP="007F4FE0">
            <w:pPr>
              <w:jc w:val="center"/>
            </w:pPr>
            <w:r>
              <w:t>f</w:t>
            </w:r>
          </w:p>
        </w:tc>
        <w:tc>
          <w:tcPr>
            <w:tcW w:w="715" w:type="dxa"/>
          </w:tcPr>
          <w:p w:rsidR="00296541" w:rsidRDefault="00296541" w:rsidP="007F4FE0">
            <w:pPr>
              <w:jc w:val="center"/>
            </w:pPr>
            <w:r>
              <w:t>53</w:t>
            </w:r>
          </w:p>
        </w:tc>
        <w:tc>
          <w:tcPr>
            <w:tcW w:w="993" w:type="dxa"/>
          </w:tcPr>
          <w:p w:rsidR="00296541" w:rsidRDefault="00296541" w:rsidP="007F4FE0">
            <w:pPr>
              <w:jc w:val="center"/>
            </w:pPr>
            <w:r>
              <w:t>6</w:t>
            </w:r>
          </w:p>
        </w:tc>
        <w:tc>
          <w:tcPr>
            <w:tcW w:w="839" w:type="dxa"/>
          </w:tcPr>
          <w:p w:rsidR="00296541" w:rsidRDefault="00296541" w:rsidP="007F4FE0">
            <w:pPr>
              <w:jc w:val="center"/>
            </w:pPr>
            <w:r>
              <w:t>17</w:t>
            </w:r>
          </w:p>
        </w:tc>
      </w:tr>
      <w:tr w:rsidR="00296541" w:rsidTr="007F4FE0">
        <w:tblPrEx>
          <w:tblCellMar>
            <w:top w:w="0" w:type="dxa"/>
            <w:bottom w:w="0" w:type="dxa"/>
          </w:tblCellMar>
        </w:tblPrEx>
        <w:tc>
          <w:tcPr>
            <w:tcW w:w="536" w:type="dxa"/>
          </w:tcPr>
          <w:p w:rsidR="00296541" w:rsidRDefault="00296541" w:rsidP="007F4FE0">
            <w:pPr>
              <w:jc w:val="center"/>
            </w:pPr>
            <w:r>
              <w:t>m</w:t>
            </w:r>
          </w:p>
        </w:tc>
        <w:tc>
          <w:tcPr>
            <w:tcW w:w="668" w:type="dxa"/>
          </w:tcPr>
          <w:p w:rsidR="00296541" w:rsidRDefault="00296541" w:rsidP="007F4FE0">
            <w:pPr>
              <w:jc w:val="center"/>
            </w:pPr>
            <w:r>
              <w:t>50</w:t>
            </w:r>
          </w:p>
        </w:tc>
        <w:tc>
          <w:tcPr>
            <w:tcW w:w="993" w:type="dxa"/>
          </w:tcPr>
          <w:p w:rsidR="00296541" w:rsidRDefault="00296541" w:rsidP="007F4FE0">
            <w:pPr>
              <w:jc w:val="center"/>
            </w:pPr>
            <w:r>
              <w:t>44</w:t>
            </w:r>
          </w:p>
        </w:tc>
        <w:tc>
          <w:tcPr>
            <w:tcW w:w="1185" w:type="dxa"/>
          </w:tcPr>
          <w:p w:rsidR="00296541" w:rsidRDefault="00296541" w:rsidP="007F4FE0">
            <w:pPr>
              <w:jc w:val="center"/>
            </w:pPr>
            <w:r>
              <w:t>33</w:t>
            </w:r>
          </w:p>
        </w:tc>
        <w:tc>
          <w:tcPr>
            <w:tcW w:w="509" w:type="dxa"/>
          </w:tcPr>
          <w:p w:rsidR="00296541" w:rsidRDefault="00296541" w:rsidP="007F4FE0">
            <w:pPr>
              <w:jc w:val="center"/>
            </w:pPr>
            <w:r>
              <w:t>m</w:t>
            </w:r>
          </w:p>
        </w:tc>
        <w:tc>
          <w:tcPr>
            <w:tcW w:w="715" w:type="dxa"/>
          </w:tcPr>
          <w:p w:rsidR="00296541" w:rsidRDefault="00296541" w:rsidP="007F4FE0">
            <w:pPr>
              <w:jc w:val="center"/>
            </w:pPr>
            <w:r>
              <w:t>50</w:t>
            </w:r>
          </w:p>
        </w:tc>
        <w:tc>
          <w:tcPr>
            <w:tcW w:w="993" w:type="dxa"/>
          </w:tcPr>
          <w:p w:rsidR="00296541" w:rsidRDefault="00296541" w:rsidP="007F4FE0">
            <w:pPr>
              <w:jc w:val="center"/>
            </w:pPr>
            <w:r>
              <w:t>5</w:t>
            </w:r>
          </w:p>
        </w:tc>
        <w:tc>
          <w:tcPr>
            <w:tcW w:w="839" w:type="dxa"/>
          </w:tcPr>
          <w:p w:rsidR="00296541" w:rsidRDefault="00296541" w:rsidP="007F4FE0">
            <w:pPr>
              <w:jc w:val="center"/>
            </w:pPr>
            <w:r>
              <w:t>13</w:t>
            </w:r>
          </w:p>
        </w:tc>
      </w:tr>
      <w:tr w:rsidR="00296541" w:rsidTr="007F4FE0">
        <w:tblPrEx>
          <w:tblCellMar>
            <w:top w:w="0" w:type="dxa"/>
            <w:bottom w:w="0" w:type="dxa"/>
          </w:tblCellMar>
        </w:tblPrEx>
        <w:tc>
          <w:tcPr>
            <w:tcW w:w="536" w:type="dxa"/>
          </w:tcPr>
          <w:p w:rsidR="00296541" w:rsidRDefault="00296541" w:rsidP="007F4FE0">
            <w:pPr>
              <w:jc w:val="center"/>
            </w:pPr>
            <w:r>
              <w:t>f</w:t>
            </w:r>
          </w:p>
        </w:tc>
        <w:tc>
          <w:tcPr>
            <w:tcW w:w="668" w:type="dxa"/>
          </w:tcPr>
          <w:p w:rsidR="00296541" w:rsidRDefault="00296541" w:rsidP="007F4FE0">
            <w:pPr>
              <w:jc w:val="center"/>
            </w:pPr>
            <w:r>
              <w:t>51</w:t>
            </w:r>
          </w:p>
        </w:tc>
        <w:tc>
          <w:tcPr>
            <w:tcW w:w="993" w:type="dxa"/>
          </w:tcPr>
          <w:p w:rsidR="00296541" w:rsidRDefault="00296541" w:rsidP="007F4FE0">
            <w:pPr>
              <w:jc w:val="center"/>
            </w:pPr>
            <w:r>
              <w:t>32</w:t>
            </w:r>
          </w:p>
        </w:tc>
        <w:tc>
          <w:tcPr>
            <w:tcW w:w="1185" w:type="dxa"/>
          </w:tcPr>
          <w:p w:rsidR="00296541" w:rsidRDefault="00296541" w:rsidP="007F4FE0">
            <w:pPr>
              <w:jc w:val="center"/>
            </w:pPr>
            <w:r>
              <w:t>34</w:t>
            </w:r>
          </w:p>
        </w:tc>
        <w:tc>
          <w:tcPr>
            <w:tcW w:w="509" w:type="dxa"/>
          </w:tcPr>
          <w:p w:rsidR="00296541" w:rsidRDefault="00296541" w:rsidP="007F4FE0">
            <w:pPr>
              <w:jc w:val="center"/>
            </w:pPr>
            <w:r>
              <w:t>f</w:t>
            </w:r>
          </w:p>
        </w:tc>
        <w:tc>
          <w:tcPr>
            <w:tcW w:w="715" w:type="dxa"/>
          </w:tcPr>
          <w:p w:rsidR="00296541" w:rsidRDefault="00296541" w:rsidP="007F4FE0">
            <w:pPr>
              <w:jc w:val="center"/>
            </w:pPr>
            <w:r>
              <w:t>52</w:t>
            </w:r>
          </w:p>
        </w:tc>
        <w:tc>
          <w:tcPr>
            <w:tcW w:w="993" w:type="dxa"/>
          </w:tcPr>
          <w:p w:rsidR="00296541" w:rsidRDefault="00296541" w:rsidP="007F4FE0">
            <w:pPr>
              <w:jc w:val="center"/>
            </w:pPr>
            <w:r>
              <w:t>29</w:t>
            </w:r>
          </w:p>
        </w:tc>
        <w:tc>
          <w:tcPr>
            <w:tcW w:w="839" w:type="dxa"/>
          </w:tcPr>
          <w:p w:rsidR="00296541" w:rsidRDefault="00296541" w:rsidP="007F4FE0">
            <w:pPr>
              <w:jc w:val="center"/>
            </w:pPr>
            <w:r>
              <w:t>18</w:t>
            </w:r>
          </w:p>
        </w:tc>
      </w:tr>
      <w:tr w:rsidR="00296541" w:rsidTr="007F4FE0">
        <w:tblPrEx>
          <w:tblCellMar>
            <w:top w:w="0" w:type="dxa"/>
            <w:bottom w:w="0" w:type="dxa"/>
          </w:tblCellMar>
        </w:tblPrEx>
        <w:tc>
          <w:tcPr>
            <w:tcW w:w="536" w:type="dxa"/>
            <w:tcBorders>
              <w:bottom w:val="single" w:sz="12" w:space="0" w:color="808080"/>
            </w:tcBorders>
          </w:tcPr>
          <w:p w:rsidR="00296541" w:rsidRDefault="00296541" w:rsidP="007F4FE0">
            <w:pPr>
              <w:jc w:val="center"/>
            </w:pPr>
            <w:r>
              <w:t>f</w:t>
            </w:r>
          </w:p>
        </w:tc>
        <w:tc>
          <w:tcPr>
            <w:tcW w:w="668" w:type="dxa"/>
            <w:tcBorders>
              <w:bottom w:val="single" w:sz="12" w:space="0" w:color="808080"/>
            </w:tcBorders>
          </w:tcPr>
          <w:p w:rsidR="00296541" w:rsidRDefault="00296541" w:rsidP="007F4FE0">
            <w:pPr>
              <w:jc w:val="center"/>
            </w:pPr>
            <w:r>
              <w:t>38</w:t>
            </w:r>
          </w:p>
        </w:tc>
        <w:tc>
          <w:tcPr>
            <w:tcW w:w="993" w:type="dxa"/>
            <w:tcBorders>
              <w:bottom w:val="single" w:sz="12" w:space="0" w:color="808080"/>
            </w:tcBorders>
          </w:tcPr>
          <w:p w:rsidR="00296541" w:rsidRDefault="00296541" w:rsidP="007F4FE0">
            <w:pPr>
              <w:jc w:val="center"/>
            </w:pPr>
            <w:r>
              <w:t>75</w:t>
            </w:r>
          </w:p>
        </w:tc>
        <w:tc>
          <w:tcPr>
            <w:tcW w:w="1185" w:type="dxa"/>
            <w:tcBorders>
              <w:bottom w:val="single" w:sz="12" w:space="0" w:color="808080"/>
            </w:tcBorders>
          </w:tcPr>
          <w:p w:rsidR="00296541" w:rsidRDefault="00296541" w:rsidP="007F4FE0">
            <w:pPr>
              <w:jc w:val="center"/>
            </w:pPr>
            <w:r>
              <w:t>112</w:t>
            </w:r>
          </w:p>
        </w:tc>
        <w:tc>
          <w:tcPr>
            <w:tcW w:w="509" w:type="dxa"/>
            <w:tcBorders>
              <w:bottom w:val="single" w:sz="12" w:space="0" w:color="808080"/>
            </w:tcBorders>
          </w:tcPr>
          <w:p w:rsidR="00296541" w:rsidRDefault="00296541" w:rsidP="007F4FE0">
            <w:pPr>
              <w:jc w:val="center"/>
            </w:pPr>
            <w:r>
              <w:t>f</w:t>
            </w:r>
          </w:p>
        </w:tc>
        <w:tc>
          <w:tcPr>
            <w:tcW w:w="715" w:type="dxa"/>
            <w:tcBorders>
              <w:bottom w:val="single" w:sz="12" w:space="0" w:color="808080"/>
            </w:tcBorders>
          </w:tcPr>
          <w:p w:rsidR="00296541" w:rsidRDefault="00296541" w:rsidP="007F4FE0">
            <w:pPr>
              <w:jc w:val="center"/>
            </w:pPr>
            <w:r>
              <w:t>41</w:t>
            </w:r>
          </w:p>
        </w:tc>
        <w:tc>
          <w:tcPr>
            <w:tcW w:w="993" w:type="dxa"/>
            <w:tcBorders>
              <w:bottom w:val="single" w:sz="12" w:space="0" w:color="808080"/>
            </w:tcBorders>
          </w:tcPr>
          <w:p w:rsidR="00296541" w:rsidRDefault="00296541" w:rsidP="007F4FE0">
            <w:pPr>
              <w:jc w:val="center"/>
            </w:pPr>
            <w:r>
              <w:t>17</w:t>
            </w:r>
          </w:p>
        </w:tc>
        <w:tc>
          <w:tcPr>
            <w:tcW w:w="839" w:type="dxa"/>
            <w:tcBorders>
              <w:bottom w:val="single" w:sz="12" w:space="0" w:color="808080"/>
            </w:tcBorders>
          </w:tcPr>
          <w:p w:rsidR="00296541" w:rsidRDefault="00296541" w:rsidP="007F4FE0">
            <w:pPr>
              <w:jc w:val="center"/>
            </w:pPr>
            <w:r>
              <w:t>23</w:t>
            </w:r>
          </w:p>
        </w:tc>
      </w:tr>
    </w:tbl>
    <w:p w:rsidR="00296541" w:rsidRDefault="00296541" w:rsidP="00296541"/>
    <w:p w:rsidR="00296541" w:rsidRDefault="00296541" w:rsidP="00296541"/>
    <w:p w:rsidR="00296541" w:rsidRDefault="00296541" w:rsidP="00296541">
      <w:r>
        <w:t xml:space="preserve">Tabelle 2: Ergebnisse der </w:t>
      </w:r>
      <w:proofErr w:type="spellStart"/>
      <w:r>
        <w:t>Matched</w:t>
      </w:r>
      <w:proofErr w:type="spellEnd"/>
      <w:r>
        <w:t xml:space="preserve"> pair-Untersuchungen von Patienten mit Fibromyalgie und Schmerzsyndromen anderer Ursache auf das mögliche Vorliegen einer Aufmerksamkeitsdefizit-/Hyperaktivitätsstörung mittels Wender Utah Rating </w:t>
      </w:r>
      <w:proofErr w:type="spellStart"/>
      <w:r>
        <w:t>Scale</w:t>
      </w:r>
      <w:proofErr w:type="spellEnd"/>
      <w:r>
        <w:t xml:space="preserve"> und Brown ADD </w:t>
      </w:r>
      <w:proofErr w:type="spellStart"/>
      <w:r>
        <w:t>Scales</w:t>
      </w:r>
      <w:proofErr w:type="spellEnd"/>
    </w:p>
    <w:p w:rsidR="00296541" w:rsidRDefault="00296541" w:rsidP="00296541"/>
    <w:p w:rsidR="00296541" w:rsidRDefault="00296541" w:rsidP="00296541">
      <w:pPr>
        <w:spacing w:line="360" w:lineRule="exact"/>
        <w:ind w:right="334"/>
        <w:rPr>
          <w:rFonts w:ascii="Times" w:hAnsi="Times"/>
        </w:rPr>
      </w:pPr>
      <w:r>
        <w:rPr>
          <w:rFonts w:ascii="Times" w:hAnsi="Times"/>
        </w:rPr>
        <w:br w:type="page"/>
      </w:r>
    </w:p>
    <w:p w:rsidR="00296541" w:rsidRDefault="00296541" w:rsidP="00296541">
      <w:pPr>
        <w:rPr>
          <w:rFonts w:ascii="Courier" w:hAnsi="Courier"/>
        </w:rPr>
      </w:pPr>
    </w:p>
    <w:p w:rsidR="00296541" w:rsidRDefault="00296541" w:rsidP="00296541">
      <w:pPr>
        <w:pBdr>
          <w:top w:val="single" w:sz="6" w:space="2" w:color="auto"/>
          <w:left w:val="single" w:sz="6" w:space="1" w:color="auto"/>
          <w:bottom w:val="single" w:sz="6" w:space="1" w:color="auto"/>
          <w:right w:val="single" w:sz="6" w:space="0" w:color="auto"/>
        </w:pBdr>
        <w:spacing w:line="360" w:lineRule="auto"/>
        <w:ind w:right="1"/>
      </w:pPr>
      <w:r>
        <w:t xml:space="preserve">                                Selbstbeurteilung durch Patienten              </w:t>
      </w:r>
      <w:proofErr w:type="spellStart"/>
      <w:r>
        <w:t>dolorimetrische</w:t>
      </w:r>
      <w:proofErr w:type="spellEnd"/>
      <w:r>
        <w:t xml:space="preserve"> Untersuchung</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916"/>
      </w:tblGrid>
      <w:tr w:rsidR="00296541" w:rsidTr="007F4FE0">
        <w:tblPrEx>
          <w:tblCellMar>
            <w:top w:w="0" w:type="dxa"/>
            <w:bottom w:w="0" w:type="dxa"/>
          </w:tblCellMar>
        </w:tblPrEx>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Patient</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vor Medikation      </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nach Medikation</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vor Medikation</w:t>
            </w:r>
          </w:p>
        </w:tc>
        <w:tc>
          <w:tcPr>
            <w:tcW w:w="1916"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nach Medikation</w:t>
            </w:r>
          </w:p>
        </w:tc>
      </w:tr>
      <w:tr w:rsidR="00296541" w:rsidTr="007F4FE0">
        <w:tblPrEx>
          <w:tblCellMar>
            <w:top w:w="0" w:type="dxa"/>
            <w:bottom w:w="0" w:type="dxa"/>
          </w:tblCellMar>
        </w:tblPrEx>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1</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29                       </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20</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34                   </w:t>
            </w:r>
          </w:p>
        </w:tc>
        <w:tc>
          <w:tcPr>
            <w:tcW w:w="1916"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23</w:t>
            </w:r>
          </w:p>
        </w:tc>
      </w:tr>
      <w:tr w:rsidR="00296541" w:rsidTr="007F4FE0">
        <w:tblPrEx>
          <w:tblCellMar>
            <w:top w:w="0" w:type="dxa"/>
            <w:bottom w:w="0" w:type="dxa"/>
          </w:tblCellMar>
        </w:tblPrEx>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27</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18</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32</w:t>
            </w:r>
          </w:p>
        </w:tc>
        <w:tc>
          <w:tcPr>
            <w:tcW w:w="1916"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15</w:t>
            </w:r>
          </w:p>
        </w:tc>
      </w:tr>
      <w:tr w:rsidR="00296541" w:rsidTr="007F4FE0">
        <w:tblPrEx>
          <w:tblCellMar>
            <w:top w:w="0" w:type="dxa"/>
            <w:bottom w:w="0" w:type="dxa"/>
          </w:tblCellMar>
        </w:tblPrEx>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3</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27</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22</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30</w:t>
            </w:r>
          </w:p>
        </w:tc>
        <w:tc>
          <w:tcPr>
            <w:tcW w:w="1916"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17</w:t>
            </w:r>
          </w:p>
        </w:tc>
      </w:tr>
      <w:tr w:rsidR="00296541" w:rsidTr="007F4FE0">
        <w:tblPrEx>
          <w:tblCellMar>
            <w:top w:w="0" w:type="dxa"/>
            <w:bottom w:w="0" w:type="dxa"/>
          </w:tblCellMar>
        </w:tblPrEx>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4</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28</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27</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31</w:t>
            </w:r>
          </w:p>
        </w:tc>
        <w:tc>
          <w:tcPr>
            <w:tcW w:w="1916"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30</w:t>
            </w:r>
          </w:p>
        </w:tc>
      </w:tr>
      <w:tr w:rsidR="00296541" w:rsidTr="007F4FE0">
        <w:tblPrEx>
          <w:tblCellMar>
            <w:top w:w="0" w:type="dxa"/>
            <w:bottom w:w="0" w:type="dxa"/>
          </w:tblCellMar>
        </w:tblPrEx>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5</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30</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10</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36</w:t>
            </w:r>
          </w:p>
        </w:tc>
        <w:tc>
          <w:tcPr>
            <w:tcW w:w="1916"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16</w:t>
            </w:r>
          </w:p>
        </w:tc>
      </w:tr>
      <w:tr w:rsidR="00296541" w:rsidTr="007F4FE0">
        <w:tblPrEx>
          <w:tblCellMar>
            <w:top w:w="0" w:type="dxa"/>
            <w:bottom w:w="0" w:type="dxa"/>
          </w:tblCellMar>
        </w:tblPrEx>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6</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22</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21</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20</w:t>
            </w:r>
          </w:p>
        </w:tc>
        <w:tc>
          <w:tcPr>
            <w:tcW w:w="1916"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19</w:t>
            </w:r>
          </w:p>
        </w:tc>
      </w:tr>
      <w:tr w:rsidR="00296541" w:rsidTr="007F4FE0">
        <w:tblPrEx>
          <w:tblCellMar>
            <w:top w:w="0" w:type="dxa"/>
            <w:bottom w:w="0" w:type="dxa"/>
          </w:tblCellMar>
        </w:tblPrEx>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7</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27</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10</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29</w:t>
            </w:r>
          </w:p>
        </w:tc>
        <w:tc>
          <w:tcPr>
            <w:tcW w:w="1916"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10</w:t>
            </w:r>
          </w:p>
        </w:tc>
      </w:tr>
      <w:tr w:rsidR="00296541" w:rsidTr="007F4FE0">
        <w:tblPrEx>
          <w:tblCellMar>
            <w:top w:w="0" w:type="dxa"/>
            <w:bottom w:w="0" w:type="dxa"/>
          </w:tblCellMar>
        </w:tblPrEx>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8</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28</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20</w:t>
            </w:r>
          </w:p>
        </w:tc>
        <w:tc>
          <w:tcPr>
            <w:tcW w:w="1842"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29</w:t>
            </w:r>
          </w:p>
        </w:tc>
        <w:tc>
          <w:tcPr>
            <w:tcW w:w="1916" w:type="dxa"/>
          </w:tcPr>
          <w:p w:rsidR="00296541" w:rsidRDefault="00296541" w:rsidP="007F4FE0">
            <w:pPr>
              <w:pBdr>
                <w:top w:val="single" w:sz="6" w:space="1" w:color="auto"/>
                <w:left w:val="single" w:sz="6" w:space="1" w:color="auto"/>
                <w:bottom w:val="single" w:sz="6" w:space="1" w:color="auto"/>
                <w:right w:val="single" w:sz="6" w:space="1" w:color="auto"/>
              </w:pBdr>
              <w:spacing w:line="360" w:lineRule="auto"/>
            </w:pPr>
            <w:r>
              <w:t xml:space="preserve">              22</w:t>
            </w:r>
          </w:p>
        </w:tc>
      </w:tr>
    </w:tbl>
    <w:p w:rsidR="00296541" w:rsidRDefault="00296541" w:rsidP="00296541">
      <w:pPr>
        <w:spacing w:line="360" w:lineRule="auto"/>
      </w:pPr>
    </w:p>
    <w:p w:rsidR="00296541" w:rsidRDefault="00296541" w:rsidP="00296541">
      <w:pPr>
        <w:spacing w:line="360" w:lineRule="exact"/>
        <w:rPr>
          <w:rFonts w:ascii="Times" w:hAnsi="Times"/>
        </w:rPr>
      </w:pPr>
      <w:r>
        <w:rPr>
          <w:rFonts w:ascii="Times" w:hAnsi="Times"/>
        </w:rPr>
        <w:t xml:space="preserve">Tabelle 3: </w:t>
      </w:r>
      <w:proofErr w:type="spellStart"/>
      <w:r>
        <w:rPr>
          <w:rFonts w:ascii="Times" w:hAnsi="Times"/>
        </w:rPr>
        <w:t>Einfluß</w:t>
      </w:r>
      <w:proofErr w:type="spellEnd"/>
      <w:r>
        <w:rPr>
          <w:rFonts w:ascii="Times" w:hAnsi="Times"/>
        </w:rPr>
        <w:t xml:space="preserve"> der Einnahme von </w:t>
      </w:r>
      <w:proofErr w:type="spellStart"/>
      <w:r>
        <w:rPr>
          <w:rFonts w:ascii="Times" w:hAnsi="Times"/>
        </w:rPr>
        <w:t>Moclobemid</w:t>
      </w:r>
      <w:proofErr w:type="spellEnd"/>
      <w:r>
        <w:rPr>
          <w:rFonts w:ascii="Times" w:hAnsi="Times"/>
        </w:rPr>
        <w:t xml:space="preserve"> auf die subjektive Schmerzwahrnehmung und die objektive Schmerzprüfung bei 8 Patienten mit Fibromyalgie (Einzelheiten zu den </w:t>
      </w:r>
      <w:proofErr w:type="spellStart"/>
      <w:r>
        <w:rPr>
          <w:rFonts w:ascii="Times" w:hAnsi="Times"/>
        </w:rPr>
        <w:t>Scores</w:t>
      </w:r>
      <w:proofErr w:type="spellEnd"/>
      <w:r>
        <w:rPr>
          <w:rFonts w:ascii="Times" w:hAnsi="Times"/>
        </w:rPr>
        <w:t xml:space="preserve"> s. Text)</w:t>
      </w:r>
    </w:p>
    <w:p w:rsidR="00296541" w:rsidRDefault="00296541" w:rsidP="00296541"/>
    <w:p w:rsidR="00062520" w:rsidRDefault="00296541">
      <w:r>
        <w:t xml:space="preserve">Von </w:t>
      </w:r>
      <w:hyperlink r:id="rId4" w:history="1">
        <w:r w:rsidRPr="00296541">
          <w:rPr>
            <w:rStyle w:val="Hyperlink"/>
          </w:rPr>
          <w:t>hyperaktiv.de</w:t>
        </w:r>
      </w:hyperlink>
      <w:bookmarkStart w:id="0" w:name="_GoBack"/>
      <w:bookmarkEnd w:id="0"/>
    </w:p>
    <w:sectPr w:rsidR="00062520">
      <w:footerReference w:type="even" r:id="rId5"/>
      <w:footerReference w:type="default" r:id="rId6"/>
      <w:pgSz w:w="12240" w:h="15840"/>
      <w:pgMar w:top="1417" w:right="1608"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9654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00000" w:rsidRDefault="0029654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9654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000000" w:rsidRDefault="00296541">
    <w:pPr>
      <w:pStyle w:val="Fuzeile"/>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09"/>
    <w:rsid w:val="00062520"/>
    <w:rsid w:val="00296541"/>
    <w:rsid w:val="00370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DBA91-68D2-4EB9-8729-6B06FCA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541"/>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296541"/>
    <w:pPr>
      <w:tabs>
        <w:tab w:val="center" w:pos="4536"/>
        <w:tab w:val="right" w:pos="9072"/>
      </w:tabs>
    </w:pPr>
  </w:style>
  <w:style w:type="character" w:customStyle="1" w:styleId="FuzeileZchn">
    <w:name w:val="Fußzeile Zchn"/>
    <w:basedOn w:val="Absatz-Standardschriftart"/>
    <w:link w:val="Fuzeile"/>
    <w:semiHidden/>
    <w:rsid w:val="00296541"/>
    <w:rPr>
      <w:rFonts w:ascii="Times New Roman" w:eastAsia="Times New Roman" w:hAnsi="Times New Roman" w:cs="Times New Roman"/>
      <w:sz w:val="24"/>
      <w:szCs w:val="20"/>
      <w:lang w:eastAsia="de-DE"/>
    </w:rPr>
  </w:style>
  <w:style w:type="character" w:styleId="Seitenzahl">
    <w:name w:val="page number"/>
    <w:basedOn w:val="Absatz-Standardschriftart"/>
    <w:semiHidden/>
    <w:rsid w:val="00296541"/>
  </w:style>
  <w:style w:type="character" w:styleId="Hyperlink">
    <w:name w:val="Hyperlink"/>
    <w:basedOn w:val="Absatz-Standardschriftart"/>
    <w:uiPriority w:val="99"/>
    <w:unhideWhenUsed/>
    <w:rsid w:val="002965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hyperaktiv.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11018</Characters>
  <DocSecurity>0</DocSecurity>
  <Lines>91</Lines>
  <Paragraphs>25</Paragraphs>
  <ScaleCrop>false</ScaleCrop>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2015-05-28T14:30:00Z</dcterms:created>
  <dcterms:modified xsi:type="dcterms:W3CDTF">2015-05-28T14:30:00Z</dcterms:modified>
</cp:coreProperties>
</file>